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D" w:rsidRDefault="006548CD" w:rsidP="006548CD">
      <w:pPr>
        <w:pStyle w:val="Body"/>
        <w:spacing w:before="120" w:after="240" w:line="480" w:lineRule="auto"/>
      </w:pPr>
      <w:r w:rsidRPr="008201D8">
        <w:rPr>
          <w:b/>
        </w:rPr>
        <w:t>Supplemental Table</w:t>
      </w:r>
      <w:r w:rsidRPr="00B93F9D">
        <w:rPr>
          <w:b/>
        </w:rPr>
        <w:t xml:space="preserve"> 1.</w:t>
      </w:r>
      <w:r>
        <w:t xml:space="preserve"> Signs and Symptoms of Cardiac Amyloidosis.</w:t>
      </w:r>
    </w:p>
    <w:tbl>
      <w:tblPr>
        <w:tblW w:w="9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7470"/>
      </w:tblGrid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548CD" w:rsidRPr="008D41F1" w:rsidRDefault="006548CD" w:rsidP="00B93F9D">
            <w:pPr>
              <w:pStyle w:val="Body"/>
              <w:jc w:val="center"/>
              <w:rPr>
                <w:color w:val="auto"/>
              </w:rPr>
            </w:pPr>
            <w:r w:rsidRPr="008D41F1">
              <w:rPr>
                <w:b/>
                <w:bCs/>
                <w:color w:val="auto"/>
              </w:rPr>
              <w:t>Test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548CD" w:rsidRPr="008D41F1" w:rsidRDefault="006548CD" w:rsidP="00B93F9D">
            <w:pPr>
              <w:pStyle w:val="Body"/>
              <w:jc w:val="center"/>
              <w:rPr>
                <w:color w:val="auto"/>
              </w:rPr>
            </w:pPr>
            <w:r w:rsidRPr="008D41F1">
              <w:rPr>
                <w:b/>
                <w:bCs/>
                <w:color w:val="auto"/>
              </w:rPr>
              <w:t>Findings</w:t>
            </w:r>
          </w:p>
        </w:tc>
      </w:tr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B93F9D">
            <w:pPr>
              <w:pStyle w:val="Body"/>
            </w:pPr>
            <w:r w:rsidRPr="00561B25">
              <w:t>Clinical features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6548CD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Heart failure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atypical chest pain,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orthostatic hypotension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right="3056" w:hanging="216"/>
            </w:pPr>
            <w:r w:rsidRPr="00561B25">
              <w:t>syncope</w:t>
            </w:r>
          </w:p>
        </w:tc>
      </w:tr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B93F9D">
            <w:pPr>
              <w:pStyle w:val="Body"/>
            </w:pPr>
            <w:r w:rsidRPr="00561B25">
              <w:t>Chest Radiography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6548CD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Normal heart size or cardiomegaly  with pleural effusions, pulmonary congestion</w:t>
            </w:r>
          </w:p>
        </w:tc>
      </w:tr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B93F9D">
            <w:pPr>
              <w:pStyle w:val="Body"/>
            </w:pPr>
            <w:r w:rsidRPr="00561B25">
              <w:t>Cardiac Biomarkers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6548CD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Elevated N-terminal probrain natriuretic peptide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Elevated cardiac troponin T</w:t>
            </w:r>
          </w:p>
        </w:tc>
      </w:tr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B93F9D">
            <w:pPr>
              <w:pStyle w:val="Body"/>
            </w:pPr>
            <w:r w:rsidRPr="00561B25">
              <w:t>Electrocardiography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6548CD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Low QRS voltage common (note: normal voltage or  even LVH criteria may be present)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 xml:space="preserve">Pseudoinfarct pattern 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Arrhythmias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AV block, RBBB, LBBB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Low voltage/mass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Fragmented QRS</w:t>
            </w:r>
          </w:p>
        </w:tc>
        <w:bookmarkStart w:id="0" w:name="_GoBack"/>
        <w:bookmarkEnd w:id="0"/>
      </w:tr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B93F9D">
            <w:pPr>
              <w:pStyle w:val="Body"/>
            </w:pPr>
            <w:r w:rsidRPr="00561B25">
              <w:t>Echocardiography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6548CD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Thickened walls and valves, pericardial effusion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Preserved  LV ejection fraction (reduced EF does not exclude diagnosis)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Low voltage/mass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Left ventricular size usually normal or reduced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Doppler shows restricted filling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Reduced LV strain with apical sparing( “bullseye” pattern)</w:t>
            </w:r>
          </w:p>
        </w:tc>
      </w:tr>
      <w:tr w:rsidR="006548CD" w:rsidRPr="00D157BC" w:rsidTr="008D41F1">
        <w:trPr>
          <w:trHeight w:val="584"/>
        </w:trPr>
        <w:tc>
          <w:tcPr>
            <w:tcW w:w="2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B93F9D">
            <w:pPr>
              <w:pStyle w:val="Body"/>
            </w:pPr>
            <w:r w:rsidRPr="00561B25">
              <w:t>MRI and Nuclear Imaging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8CD" w:rsidRPr="00561B25" w:rsidRDefault="006548CD" w:rsidP="006548CD">
            <w:pPr>
              <w:pStyle w:val="Body"/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Abnormal late gadolinium enhancement and difficulty “nulling” the myocardium</w:t>
            </w:r>
          </w:p>
          <w:p w:rsidR="006548CD" w:rsidRPr="00561B25" w:rsidRDefault="006548CD" w:rsidP="006548CD">
            <w:pPr>
              <w:pStyle w:val="Body"/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 xml:space="preserve">Nuclear scintigraphy (PYP, DPD) for TTR </w:t>
            </w:r>
            <w:proofErr w:type="spellStart"/>
            <w:r w:rsidRPr="00561B25">
              <w:t>amyloidoisis</w:t>
            </w:r>
            <w:proofErr w:type="spellEnd"/>
          </w:p>
          <w:p w:rsidR="006548CD" w:rsidRPr="00561B25" w:rsidRDefault="006548CD" w:rsidP="006548CD">
            <w:pPr>
              <w:pStyle w:val="Body"/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spacing w:after="0" w:line="240" w:lineRule="auto"/>
              <w:ind w:left="216" w:hanging="216"/>
            </w:pPr>
            <w:r w:rsidRPr="00561B25">
              <w:t>MRI imaging using (</w:t>
            </w:r>
            <w:r w:rsidRPr="00561B25">
              <w:rPr>
                <w:vertAlign w:val="superscript"/>
              </w:rPr>
              <w:t>11</w:t>
            </w:r>
            <w:r w:rsidRPr="00561B25">
              <w:t xml:space="preserve">C-PIB; </w:t>
            </w:r>
            <w:r w:rsidRPr="00561B25">
              <w:rPr>
                <w:vertAlign w:val="superscript"/>
              </w:rPr>
              <w:t>11</w:t>
            </w:r>
            <w:r w:rsidRPr="00561B25">
              <w:t>C-Pittsburgh B compound) and florbetapir to detect AL amyloidosis</w:t>
            </w:r>
          </w:p>
        </w:tc>
      </w:tr>
    </w:tbl>
    <w:p w:rsidR="006548CD" w:rsidRDefault="006548CD" w:rsidP="006548CD">
      <w:pPr>
        <w:pStyle w:val="Body"/>
        <w:spacing w:before="120" w:after="240" w:line="480" w:lineRule="auto"/>
      </w:pPr>
    </w:p>
    <w:p w:rsidR="006548CD" w:rsidRDefault="006548CD" w:rsidP="006548CD">
      <w:pPr>
        <w:pStyle w:val="Body"/>
        <w:spacing w:before="120" w:after="240" w:line="480" w:lineRule="auto"/>
      </w:pPr>
    </w:p>
    <w:p w:rsidR="008C07EF" w:rsidRDefault="008D41F1"/>
    <w:sectPr w:rsidR="008C07EF" w:rsidSect="00690BD3">
      <w:pgSz w:w="12240" w:h="15840"/>
      <w:pgMar w:top="16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9B1"/>
    <w:multiLevelType w:val="hybridMultilevel"/>
    <w:tmpl w:val="E432F802"/>
    <w:lvl w:ilvl="0" w:tplc="19E25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1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E6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4C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1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E6A36"/>
    <w:multiLevelType w:val="hybridMultilevel"/>
    <w:tmpl w:val="D0A6F8F0"/>
    <w:lvl w:ilvl="0" w:tplc="C740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4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C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4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69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D601C3"/>
    <w:multiLevelType w:val="hybridMultilevel"/>
    <w:tmpl w:val="78641B0E"/>
    <w:lvl w:ilvl="0" w:tplc="293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0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0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E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6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8C0645"/>
    <w:multiLevelType w:val="hybridMultilevel"/>
    <w:tmpl w:val="710C6F06"/>
    <w:lvl w:ilvl="0" w:tplc="B7BAC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C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8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1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CA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4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D137C5"/>
    <w:multiLevelType w:val="hybridMultilevel"/>
    <w:tmpl w:val="74A8D8E8"/>
    <w:lvl w:ilvl="0" w:tplc="C88AD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6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86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6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4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3D640F"/>
    <w:multiLevelType w:val="hybridMultilevel"/>
    <w:tmpl w:val="B39CE682"/>
    <w:lvl w:ilvl="0" w:tplc="9324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A4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8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E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CD"/>
    <w:rsid w:val="000E67A1"/>
    <w:rsid w:val="00141342"/>
    <w:rsid w:val="00561B25"/>
    <w:rsid w:val="006548CD"/>
    <w:rsid w:val="0066682A"/>
    <w:rsid w:val="008D41F1"/>
    <w:rsid w:val="008D6601"/>
    <w:rsid w:val="00B17F84"/>
    <w:rsid w:val="00C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E5F9-99C1-464C-B097-4D035AD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8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48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Glickstein</dc:creator>
  <cp:keywords/>
  <dc:description/>
  <cp:lastModifiedBy>Marie Chesny</cp:lastModifiedBy>
  <cp:revision>5</cp:revision>
  <dcterms:created xsi:type="dcterms:W3CDTF">2017-03-22T14:57:00Z</dcterms:created>
  <dcterms:modified xsi:type="dcterms:W3CDTF">2017-03-22T15:12:00Z</dcterms:modified>
</cp:coreProperties>
</file>