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color w:val="000000" w:themeColor="text1"/>
          <w:sz w:val="24"/>
          <w:szCs w:val="24"/>
        </w:rPr>
        <w:t xml:space="preserve">Appendix 1- US and UK cardiovascular prevention guideline targets </w:t>
      </w:r>
    </w:p>
    <w:p>
      <w:pPr>
        <w:pStyle w:val="Normal"/>
        <w:spacing w:lineRule="auto" w:line="480" w:before="0" w:after="0"/>
        <w:rPr/>
      </w:pPr>
      <w:r>
        <w:rPr>
          <w:rFonts w:cs="Times New Roman" w:ascii="Times New Roman" w:hAnsi="Times New Roman"/>
          <w:i/>
          <w:color w:val="000000" w:themeColor="text1"/>
          <w:sz w:val="24"/>
          <w:szCs w:val="24"/>
        </w:rPr>
        <w:t xml:space="preserve">Methods  </w:t>
      </w:r>
    </w:p>
    <w:p>
      <w:pPr>
        <w:pStyle w:val="Normal"/>
        <w:spacing w:lineRule="auto" w:line="480" w:before="0" w:after="0"/>
        <w:rPr/>
      </w:pPr>
      <w:r>
        <w:rPr>
          <w:rFonts w:cs="Times New Roman" w:ascii="Times New Roman" w:hAnsi="Times New Roman"/>
          <w:sz w:val="24"/>
          <w:szCs w:val="24"/>
          <w:lang w:val="en-US"/>
        </w:rPr>
        <w:t>Achievement of targets for US and UK guidelines for blood pressure (BP), cholesterol and antiplatelet therapy for trial participants at 12 months was assessed in the same way as for the European guidelines. For the US, targets were obtained from the American College of Cardiology (ACC) / American Heart Association (AHA) for BP (&lt;130/80 mm Hg)</w:t>
      </w:r>
      <w:r>
        <w:rPr>
          <w:rFonts w:cs="Times New Roman" w:ascii="Times New Roman" w:hAnsi="Times New Roman"/>
          <w:sz w:val="24"/>
          <w:szCs w:val="24"/>
          <w:vertAlign w:val="superscript"/>
          <w:lang w:val="en-US"/>
        </w:rPr>
        <w:t xml:space="preserve">1 </w:t>
      </w:r>
      <w:r>
        <w:rPr>
          <w:rFonts w:cs="Times New Roman" w:ascii="Times New Roman" w:hAnsi="Times New Roman"/>
          <w:sz w:val="24"/>
          <w:szCs w:val="24"/>
          <w:lang w:val="en-US"/>
        </w:rPr>
        <w:t>and from the AHA / ACC Foundation for low density lipoprotein cholesterol (&lt;70 mg/dL [1.8 mmol/L; or non-high density lipoprotein cholesterol of &lt;100 mg/dL [2.6 mmol/L]] for those with a prior event, otherwise &lt;100 mg/dL [2.6 mmol/L]; or non-high density lipoprotein cholesterol of &lt;130 mg/dL [3.4 mmol/L]) and antiplatelet therapy for secondary prevention.</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 xml:space="preserve"> The most recent US guideline for the treatment of cholesterol focuses on the appropriate intensity of statin therapy as opposed to target cholesterol levels.</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 UK targets were obtained from National Institute for Health and Care Excellence (NICE) guidelines (BP &lt;140/90 mm Hg,</w:t>
      </w:r>
      <w:r>
        <w:rPr>
          <w:rFonts w:cs="Times New Roman" w:ascii="Times New Roman" w:hAnsi="Times New Roman"/>
          <w:sz w:val="24"/>
          <w:szCs w:val="24"/>
          <w:vertAlign w:val="superscript"/>
          <w:lang w:val="en-US"/>
        </w:rPr>
        <w:t>4</w:t>
      </w:r>
      <w:r>
        <w:rPr>
          <w:rFonts w:cs="Times New Roman" w:ascii="Times New Roman" w:hAnsi="Times New Roman"/>
          <w:sz w:val="24"/>
          <w:szCs w:val="24"/>
          <w:lang w:val="en-US"/>
        </w:rPr>
        <w:t xml:space="preserve"> total cholesterol &lt;5 mmol/L,</w:t>
      </w:r>
      <w:r>
        <w:rPr>
          <w:rFonts w:cs="Times New Roman" w:ascii="Times New Roman" w:hAnsi="Times New Roman"/>
          <w:sz w:val="24"/>
          <w:szCs w:val="24"/>
          <w:vertAlign w:val="superscript"/>
          <w:lang w:val="en-US"/>
        </w:rPr>
        <w:t>5</w:t>
      </w:r>
      <w:r>
        <w:rPr>
          <w:rFonts w:cs="Times New Roman" w:ascii="Times New Roman" w:hAnsi="Times New Roman"/>
          <w:sz w:val="24"/>
          <w:szCs w:val="24"/>
          <w:lang w:val="en-US"/>
        </w:rPr>
        <w:t xml:space="preserve"> and antiplatelet therapy for secondary prevention</w:t>
      </w:r>
      <w:r>
        <w:rPr>
          <w:rFonts w:cs="Times New Roman" w:ascii="Times New Roman" w:hAnsi="Times New Roman"/>
          <w:sz w:val="24"/>
          <w:szCs w:val="24"/>
          <w:vertAlign w:val="superscript"/>
          <w:lang w:val="en-US"/>
        </w:rPr>
        <w:t>6-8</w:t>
      </w:r>
      <w:r>
        <w:rPr>
          <w:rFonts w:cs="Times New Roman" w:ascii="Times New Roman" w:hAnsi="Times New Roman"/>
          <w:sz w:val="24"/>
          <w:szCs w:val="24"/>
          <w:lang w:val="en-US"/>
        </w:rPr>
        <w:t>).</w:t>
      </w:r>
    </w:p>
    <w:p>
      <w:pPr>
        <w:pStyle w:val="Normal"/>
        <w:spacing w:lineRule="auto" w:line="480" w:before="0" w:after="0"/>
        <w:rPr>
          <w:rFonts w:ascii="Times New Roman" w:hAnsi="Times New Roman" w:cs="Times New Roman"/>
          <w:sz w:val="24"/>
          <w:szCs w:val="24"/>
          <w:highlight w:val="yellow"/>
          <w:lang w:val="en-US"/>
        </w:rPr>
      </w:pPr>
      <w:r>
        <w:rPr>
          <w:rFonts w:cs="Times New Roman" w:ascii="Times New Roman" w:hAnsi="Times New Roman"/>
          <w:sz w:val="24"/>
          <w:szCs w:val="24"/>
          <w:highlight w:val="yellow"/>
          <w:lang w:val="en-US"/>
        </w:rPr>
      </w:r>
    </w:p>
    <w:p>
      <w:pPr>
        <w:pStyle w:val="Normal"/>
        <w:rPr>
          <w:rFonts w:ascii="Times New Roman" w:hAnsi="Times New Roman" w:cs="Times New Roman"/>
          <w:b/>
          <w:b/>
          <w:color w:val="000000" w:themeColor="text1"/>
          <w:sz w:val="24"/>
          <w:szCs w:val="24"/>
          <w:highlight w:val="yellow"/>
        </w:rPr>
      </w:pPr>
      <w:r>
        <w:rPr>
          <w:rFonts w:cs="Times New Roman" w:ascii="Times New Roman" w:hAnsi="Times New Roman"/>
          <w:b/>
          <w:color w:val="000000" w:themeColor="text1"/>
          <w:sz w:val="24"/>
          <w:szCs w:val="24"/>
          <w:highlight w:val="yellow"/>
        </w:rPr>
      </w:r>
    </w:p>
    <w:p>
      <w:pPr>
        <w:pStyle w:val="Normal"/>
        <w:spacing w:lineRule="auto" w:line="480"/>
        <w:rPr>
          <w:rFonts w:ascii="Times New Roman" w:hAnsi="Times New Roman" w:cs="Times New Roman"/>
          <w:b/>
          <w:b/>
          <w:color w:val="000000" w:themeColor="text1"/>
          <w:sz w:val="24"/>
          <w:szCs w:val="24"/>
          <w:highlight w:val="yellow"/>
        </w:rPr>
      </w:pPr>
      <w:r>
        <w:rPr>
          <w:rFonts w:cs="Times New Roman" w:ascii="Times New Roman" w:hAnsi="Times New Roman"/>
          <w:b/>
          <w:color w:val="000000" w:themeColor="text1"/>
          <w:sz w:val="24"/>
          <w:szCs w:val="24"/>
          <w:highlight w:val="yellow"/>
        </w:rPr>
      </w:r>
      <w:r>
        <w:br w:type="page"/>
      </w:r>
    </w:p>
    <w:p>
      <w:pPr>
        <w:pStyle w:val="Normal"/>
        <w:rPr/>
      </w:pPr>
      <w:r>
        <w:rPr>
          <w:rFonts w:cs="Times New Roman" w:ascii="Times New Roman" w:hAnsi="Times New Roman"/>
          <w:i/>
          <w:color w:val="000000" w:themeColor="text1"/>
          <w:sz w:val="24"/>
          <w:szCs w:val="24"/>
        </w:rPr>
        <w:t xml:space="preserve">Results </w:t>
      </w:r>
    </w:p>
    <w:p>
      <w:pPr>
        <w:pStyle w:val="Normal"/>
        <w:spacing w:lineRule="auto" w:line="480" w:before="0" w:after="0"/>
        <w:rPr/>
      </w:pPr>
      <w:r>
        <w:rPr>
          <w:rFonts w:cs="Times New Roman" w:ascii="Times New Roman" w:hAnsi="Times New Roman"/>
          <w:i/>
          <w:color w:val="000000" w:themeColor="text1"/>
          <w:sz w:val="24"/>
          <w:szCs w:val="24"/>
        </w:rPr>
        <w:t>Appendix 1 Table 1.</w:t>
      </w:r>
      <w:r>
        <w:rPr>
          <w:rFonts w:cs="Times New Roman" w:ascii="Times New Roman" w:hAnsi="Times New Roman"/>
          <w:color w:val="000000" w:themeColor="text1"/>
          <w:sz w:val="24"/>
          <w:szCs w:val="24"/>
        </w:rPr>
        <w:t xml:space="preserve"> Achievement of treatment targets by guideline at 12 months </w:t>
      </w:r>
    </w:p>
    <w:tbl>
      <w:tblPr>
        <w:tblStyle w:val="TableGrid"/>
        <w:tblW w:w="9209" w:type="dxa"/>
        <w:jc w:val="left"/>
        <w:tblInd w:w="0" w:type="dxa"/>
        <w:tblCellMar>
          <w:top w:w="0" w:type="dxa"/>
          <w:left w:w="108" w:type="dxa"/>
          <w:bottom w:w="0" w:type="dxa"/>
          <w:right w:w="108" w:type="dxa"/>
        </w:tblCellMar>
        <w:tblLook w:val="04a0" w:noVBand="1" w:noHBand="0" w:lastColumn="0" w:firstColumn="1" w:lastRow="0" w:firstRow="1"/>
      </w:tblPr>
      <w:tblGrid>
        <w:gridCol w:w="2547"/>
        <w:gridCol w:w="2126"/>
        <w:gridCol w:w="2126"/>
        <w:gridCol w:w="2409"/>
      </w:tblGrid>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Target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Polypill </w:t>
            </w:r>
          </w:p>
          <w:p>
            <w:pPr>
              <w:pStyle w:val="Normal"/>
              <w:spacing w:lineRule="auto" w:line="480" w:before="0" w:after="0"/>
              <w:rPr/>
            </w:pPr>
            <w:r>
              <w:rPr>
                <w:rFonts w:cs="Times New Roman" w:ascii="Times New Roman" w:hAnsi="Times New Roman"/>
                <w:color w:val="000000" w:themeColor="text1"/>
                <w:sz w:val="24"/>
                <w:szCs w:val="24"/>
              </w:rPr>
              <w:t>n/N (crude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Usual care </w:t>
            </w:r>
          </w:p>
          <w:p>
            <w:pPr>
              <w:pStyle w:val="Normal"/>
              <w:spacing w:lineRule="auto" w:line="480" w:before="0" w:after="0"/>
              <w:rPr/>
            </w:pPr>
            <w:r>
              <w:rPr>
                <w:rFonts w:cs="Times New Roman" w:ascii="Times New Roman" w:hAnsi="Times New Roman"/>
                <w:color w:val="000000" w:themeColor="text1"/>
                <w:sz w:val="24"/>
                <w:szCs w:val="24"/>
              </w:rPr>
              <w:t>n/N (crude %)</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RR</w:t>
            </w:r>
            <w:r>
              <w:rPr>
                <w:rFonts w:cs="Times New Roman" w:ascii="Times New Roman" w:hAnsi="Times New Roman"/>
                <w:color w:val="000000" w:themeColor="text1"/>
                <w:sz w:val="24"/>
                <w:szCs w:val="24"/>
                <w:vertAlign w:val="superscript"/>
              </w:rPr>
              <w:t>a</w:t>
            </w:r>
            <w:r>
              <w:rPr>
                <w:rFonts w:cs="Times New Roman" w:ascii="Times New Roman" w:hAnsi="Times New Roman"/>
                <w:color w:val="000000" w:themeColor="text1"/>
                <w:sz w:val="24"/>
                <w:szCs w:val="24"/>
              </w:rPr>
              <w:t xml:space="preserve"> (95% CI)</w:t>
            </w:r>
          </w:p>
        </w:tc>
      </w:tr>
      <w:tr>
        <w:trPr/>
        <w:tc>
          <w:tcPr>
            <w:tcW w:w="9208" w:type="dxa"/>
            <w:gridSpan w:val="4"/>
            <w:tcBorders/>
            <w:shd w:fill="auto" w:val="clear"/>
            <w:tcMar>
              <w:left w:w="108" w:type="dxa"/>
            </w:tcMar>
          </w:tcPr>
          <w:p>
            <w:pPr>
              <w:pStyle w:val="Normal"/>
              <w:spacing w:lineRule="auto" w:line="480" w:before="0" w:after="0"/>
              <w:rPr/>
            </w:pPr>
            <w:r>
              <w:rPr>
                <w:rFonts w:cs="Times New Roman" w:ascii="Times New Roman" w:hAnsi="Times New Roman"/>
                <w:b/>
                <w:sz w:val="24"/>
                <w:szCs w:val="24"/>
              </w:rPr>
              <w:t xml:space="preserve">UK guidelines </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BP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887/1393 (64%)</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794/1347 (59%)</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1.08 (1.02-1.14)*</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TC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1154/1371 (84%)</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1062/1333 (80%)</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1.06 (1.02-1.10)*</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Antiplatelet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1038/1086 (96%)</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1031/1078 (96%)</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1.00 (0.98-1.01)</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BP and TC and antiplatelet</w:t>
            </w:r>
            <w:r>
              <w:rPr>
                <w:rFonts w:cs="Times New Roman" w:ascii="Times New Roman" w:hAnsi="Times New Roman"/>
                <w:color w:val="000000" w:themeColor="text1"/>
                <w:sz w:val="24"/>
                <w:szCs w:val="24"/>
                <w:vertAlign w:val="superscript"/>
              </w:rPr>
              <w:t>b</w:t>
            </w:r>
            <w:r>
              <w:rPr>
                <w:rFonts w:cs="Times New Roman" w:ascii="Times New Roman" w:hAnsi="Times New Roman"/>
                <w:color w:val="000000" w:themeColor="text1"/>
                <w:sz w:val="24"/>
                <w:szCs w:val="24"/>
              </w:rPr>
              <w:t xml:space="preserve">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746/1393 (54%)</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642/1352 (47%)</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1.13 (1.05-1.22)*</w:t>
            </w:r>
          </w:p>
        </w:tc>
      </w:tr>
      <w:tr>
        <w:trPr/>
        <w:tc>
          <w:tcPr>
            <w:tcW w:w="9208" w:type="dxa"/>
            <w:gridSpan w:val="4"/>
            <w:tcBorders/>
            <w:shd w:fill="auto" w:val="clear"/>
            <w:tcMar>
              <w:left w:w="108" w:type="dxa"/>
            </w:tcMar>
          </w:tcPr>
          <w:p>
            <w:pPr>
              <w:pStyle w:val="Normal"/>
              <w:spacing w:lineRule="auto" w:line="480" w:before="0" w:after="0"/>
              <w:rPr/>
            </w:pPr>
            <w:r>
              <w:rPr>
                <w:rFonts w:cs="Times New Roman" w:ascii="Times New Roman" w:hAnsi="Times New Roman"/>
                <w:b/>
                <w:color w:val="000000" w:themeColor="text1"/>
                <w:sz w:val="24"/>
                <w:szCs w:val="24"/>
              </w:rPr>
              <w:t xml:space="preserve">US guidelines </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BP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585/1393 (42%)</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447/1347 (33%)</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1.27 (1.16-1.40)*</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LDL</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524/1343 (39%)</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443/1294 (34%)</w:t>
            </w:r>
          </w:p>
        </w:tc>
        <w:tc>
          <w:tcPr>
            <w:tcW w:w="2409" w:type="dxa"/>
            <w:tcBorders/>
            <w:shd w:color="auto" w:fill="auto" w:val="clear"/>
            <w:tcMar>
              <w:left w:w="108" w:type="dxa"/>
            </w:tcMar>
          </w:tcPr>
          <w:p>
            <w:pPr>
              <w:pStyle w:val="Normal"/>
              <w:spacing w:lineRule="auto" w:line="480" w:before="0" w:after="0"/>
              <w:rPr/>
            </w:pPr>
            <w:r>
              <w:rPr>
                <w:rFonts w:cs="Times New Roman" w:ascii="Times New Roman" w:hAnsi="Times New Roman"/>
                <w:sz w:val="24"/>
                <w:szCs w:val="24"/>
              </w:rPr>
              <w:t>1.13 (1.02-1.25)*</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Antiplatelet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1038/1086 (96%)</w:t>
            </w:r>
          </w:p>
        </w:tc>
        <w:tc>
          <w:tcPr>
            <w:tcW w:w="2126" w:type="dxa"/>
            <w:tcBorders/>
            <w:shd w:color="auto" w:fill="auto" w:val="clear"/>
            <w:tcMar>
              <w:left w:w="108" w:type="dxa"/>
            </w:tcMar>
          </w:tcPr>
          <w:p>
            <w:pPr>
              <w:pStyle w:val="Normal"/>
              <w:spacing w:lineRule="auto" w:line="480" w:before="0" w:after="0"/>
              <w:rPr/>
            </w:pPr>
            <w:r>
              <w:rPr>
                <w:rFonts w:cs="Times New Roman" w:ascii="Times New Roman" w:hAnsi="Times New Roman"/>
                <w:sz w:val="24"/>
                <w:szCs w:val="24"/>
              </w:rPr>
              <w:t>1031/1078 (96%)</w:t>
            </w:r>
          </w:p>
        </w:tc>
        <w:tc>
          <w:tcPr>
            <w:tcW w:w="2409" w:type="dxa"/>
            <w:tcBorders/>
            <w:shd w:color="auto" w:fill="auto" w:val="clear"/>
            <w:tcMar>
              <w:left w:w="108" w:type="dxa"/>
            </w:tcMar>
          </w:tcPr>
          <w:p>
            <w:pPr>
              <w:pStyle w:val="Normal"/>
              <w:spacing w:lineRule="auto" w:line="480" w:before="0" w:after="0"/>
              <w:rPr/>
            </w:pPr>
            <w:r>
              <w:rPr>
                <w:rFonts w:cs="Times New Roman" w:ascii="Times New Roman" w:hAnsi="Times New Roman"/>
                <w:sz w:val="24"/>
                <w:szCs w:val="24"/>
              </w:rPr>
              <w:t>1.00 (0.98-1.01)</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BP and LDL and antiplatelet</w:t>
            </w:r>
            <w:r>
              <w:rPr>
                <w:rFonts w:cs="Times New Roman" w:ascii="Times New Roman" w:hAnsi="Times New Roman"/>
                <w:color w:val="000000" w:themeColor="text1"/>
                <w:sz w:val="24"/>
                <w:szCs w:val="24"/>
                <w:vertAlign w:val="superscript"/>
              </w:rPr>
              <w:t>b</w:t>
            </w:r>
            <w:r>
              <w:rPr>
                <w:rFonts w:cs="Times New Roman" w:ascii="Times New Roman" w:hAnsi="Times New Roman"/>
                <w:color w:val="000000" w:themeColor="text1"/>
                <w:sz w:val="24"/>
                <w:szCs w:val="24"/>
              </w:rPr>
              <w:t xml:space="preserve">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223/1386 (16%)</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158/1343 (12%)</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1.37 (1.13-1.66)*</w:t>
            </w:r>
          </w:p>
        </w:tc>
      </w:tr>
      <w:tr>
        <w:trPr/>
        <w:tc>
          <w:tcPr>
            <w:tcW w:w="2547" w:type="dxa"/>
            <w:tcBorders/>
            <w:shd w:fill="auto" w:val="clear"/>
            <w:tcMar>
              <w:left w:w="108" w:type="dxa"/>
            </w:tcMar>
          </w:tcPr>
          <w:p>
            <w:pPr>
              <w:pStyle w:val="Normal"/>
              <w:spacing w:lineRule="auto" w:line="480" w:before="0" w:after="0"/>
              <w:rPr/>
            </w:pPr>
            <w:r>
              <w:rPr>
                <w:rFonts w:cs="Times New Roman" w:ascii="Times New Roman" w:hAnsi="Times New Roman"/>
                <w:color w:val="000000" w:themeColor="text1"/>
                <w:sz w:val="24"/>
                <w:szCs w:val="24"/>
              </w:rPr>
              <w:t xml:space="preserve">Non-HDL cholesterol </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608/1364 (45%)</w:t>
            </w:r>
          </w:p>
        </w:tc>
        <w:tc>
          <w:tcPr>
            <w:tcW w:w="2126"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560/1323 (42%)</w:t>
            </w:r>
          </w:p>
        </w:tc>
        <w:tc>
          <w:tcPr>
            <w:tcW w:w="2409" w:type="dxa"/>
            <w:tcBorders/>
            <w:shd w:fill="auto" w:val="clear"/>
            <w:tcMar>
              <w:left w:w="108" w:type="dxa"/>
            </w:tcMar>
          </w:tcPr>
          <w:p>
            <w:pPr>
              <w:pStyle w:val="Normal"/>
              <w:spacing w:lineRule="auto" w:line="480" w:before="0" w:after="0"/>
              <w:rPr/>
            </w:pPr>
            <w:r>
              <w:rPr>
                <w:rFonts w:cs="Times New Roman" w:ascii="Times New Roman" w:hAnsi="Times New Roman"/>
                <w:sz w:val="24"/>
                <w:szCs w:val="24"/>
              </w:rPr>
              <w:t>1.05 (0.96-1.14)</w:t>
            </w:r>
          </w:p>
        </w:tc>
      </w:tr>
    </w:tbl>
    <w:p>
      <w:pPr>
        <w:pStyle w:val="Normal"/>
        <w:spacing w:lineRule="auto" w:line="480" w:before="0" w:after="0"/>
        <w:rPr/>
      </w:pPr>
      <w:r>
        <w:rPr>
          <w:rFonts w:cs="Times New Roman" w:ascii="Times New Roman" w:hAnsi="Times New Roman"/>
          <w:color w:val="000000" w:themeColor="text1"/>
          <w:sz w:val="24"/>
          <w:szCs w:val="24"/>
        </w:rPr>
        <w:t xml:space="preserve">BP=blood pressure, CI=confidence interval, HDL=high density lipoprotein, LDL=low density lipoprotein cholesterol, RR=risk ratio, TC=total cholesterol  </w:t>
      </w:r>
    </w:p>
    <w:p>
      <w:pPr>
        <w:pStyle w:val="Normal"/>
        <w:spacing w:lineRule="auto" w:line="480" w:before="0" w:after="0"/>
        <w:rPr/>
      </w:pPr>
      <w:r>
        <w:rPr>
          <w:rFonts w:cs="Times New Roman" w:ascii="Times New Roman" w:hAnsi="Times New Roman"/>
          <w:color w:val="000000" w:themeColor="text1"/>
          <w:sz w:val="24"/>
          <w:szCs w:val="24"/>
        </w:rPr>
        <w:t xml:space="preserve">*p&lt;0.05 after Holm-Bonferroni correction for multiple testing of targets within the same guideline </w:t>
      </w:r>
    </w:p>
    <w:p>
      <w:pPr>
        <w:pStyle w:val="Normal"/>
        <w:rPr/>
      </w:pPr>
      <w:r>
        <w:rPr>
          <w:rFonts w:cs="Times New Roman" w:ascii="Times New Roman" w:hAnsi="Times New Roman"/>
          <w:color w:val="000000" w:themeColor="text1"/>
          <w:sz w:val="24"/>
          <w:szCs w:val="24"/>
          <w:vertAlign w:val="superscript"/>
        </w:rPr>
        <w:t>a</w:t>
      </w:r>
      <w:r>
        <w:rPr>
          <w:rFonts w:cs="Times New Roman" w:ascii="Times New Roman" w:hAnsi="Times New Roman"/>
          <w:color w:val="000000" w:themeColor="text1"/>
          <w:sz w:val="24"/>
          <w:szCs w:val="24"/>
        </w:rPr>
        <w:t xml:space="preserve">RRs were obtained from a log-binomial regression model as described in the methods section </w:t>
      </w:r>
    </w:p>
    <w:p>
      <w:pPr>
        <w:pStyle w:val="Normal"/>
        <w:rPr/>
      </w:pPr>
      <w:r>
        <w:rPr>
          <w:rFonts w:cs="Times New Roman" w:ascii="Times New Roman" w:hAnsi="Times New Roman"/>
          <w:color w:val="000000" w:themeColor="text1"/>
          <w:sz w:val="24"/>
          <w:szCs w:val="24"/>
          <w:vertAlign w:val="superscript"/>
        </w:rPr>
        <w:t>b</w:t>
      </w:r>
      <w:r>
        <w:rPr>
          <w:rFonts w:cs="Times New Roman" w:ascii="Times New Roman" w:hAnsi="Times New Roman"/>
          <w:color w:val="000000" w:themeColor="text1"/>
          <w:sz w:val="24"/>
          <w:szCs w:val="24"/>
        </w:rPr>
        <w:t>Antiplatelet target only applicable to people with established cardiovascular disease</w:t>
      </w:r>
    </w:p>
    <w:p>
      <w:pPr>
        <w:pStyle w:val="Normal"/>
        <w:rPr>
          <w:rFonts w:ascii="Times New Roman" w:hAnsi="Times New Roman" w:cs="Times New Roman"/>
          <w:i/>
          <w:i/>
          <w:color w:val="000000" w:themeColor="text1"/>
          <w:sz w:val="24"/>
          <w:szCs w:val="24"/>
          <w:highlight w:val="yellow"/>
        </w:rPr>
      </w:pPr>
      <w:r>
        <w:rPr>
          <w:rFonts w:cs="Times New Roman" w:ascii="Times New Roman" w:hAnsi="Times New Roman"/>
          <w:i/>
          <w:color w:val="000000" w:themeColor="text1"/>
          <w:sz w:val="24"/>
          <w:szCs w:val="24"/>
          <w:highlight w:val="yellow"/>
        </w:rPr>
      </w:r>
    </w:p>
    <w:p>
      <w:pPr>
        <w:pStyle w:val="Normal"/>
        <w:rPr>
          <w:rFonts w:ascii="Times New Roman" w:hAnsi="Times New Roman" w:cs="Times New Roman"/>
          <w:i/>
          <w:i/>
          <w:color w:val="000000" w:themeColor="text1"/>
          <w:sz w:val="24"/>
          <w:szCs w:val="24"/>
          <w:highlight w:val="yellow"/>
        </w:rPr>
      </w:pPr>
      <w:r>
        <w:rPr>
          <w:rFonts w:cs="Times New Roman" w:ascii="Times New Roman" w:hAnsi="Times New Roman"/>
          <w:i/>
          <w:color w:val="000000" w:themeColor="text1"/>
          <w:sz w:val="24"/>
          <w:szCs w:val="24"/>
          <w:highlight w:val="yellow"/>
        </w:rPr>
      </w:r>
      <w:r>
        <w:br w:type="page"/>
      </w:r>
    </w:p>
    <w:p>
      <w:pPr>
        <w:pStyle w:val="Normal"/>
        <w:rPr/>
      </w:pPr>
      <w:r>
        <w:rPr>
          <w:rFonts w:cs="Times New Roman" w:ascii="Times New Roman" w:hAnsi="Times New Roman"/>
          <w:i/>
          <w:color w:val="000000" w:themeColor="text1"/>
          <w:sz w:val="24"/>
          <w:szCs w:val="24"/>
        </w:rPr>
        <w:t>References</w:t>
      </w:r>
    </w:p>
    <w:p>
      <w:pPr>
        <w:pStyle w:val="Normal"/>
        <w:spacing w:lineRule="auto" w:line="480" w:before="0" w:after="0"/>
        <w:rPr/>
      </w:pPr>
      <w:r>
        <w:rPr>
          <w:rFonts w:cs="Times New Roman" w:ascii="Times New Roman" w:hAnsi="Times New Roman"/>
          <w:sz w:val="24"/>
          <w:szCs w:val="24"/>
        </w:rPr>
        <w:t>1.</w:t>
        <w:tab/>
        <w:t>Whelton PK, Carey RM, Aronow WS, Casey DE, Collins KJ, Dennison Himmelfarb C, DePalma SM, Gidding S, Jamerson KA, Jones DW, MacLaughlin EJ, Muntner P, Ovbiagele B, Smith SCJ, Spencer CC, Stafford RS, Taler SJ, Thomas RJ, Williams KA, Williamson JD, Wright JT. 2017 ACC/AHA/AAPA/ABC/ACPM/AGS/APhA/ASH/ASPC/NMA/PCNA guideline for the prevention, detection, evaluation, and management of high blood pressure in adults: a report of the American College of Cardiology/American Heart Association Task Force on Clinical Practice Guidelines. Hypertension 2017</w:t>
      </w:r>
    </w:p>
    <w:p>
      <w:pPr>
        <w:pStyle w:val="Normal"/>
        <w:spacing w:lineRule="auto" w:line="480" w:before="0" w:after="0"/>
        <w:rPr/>
      </w:pPr>
      <w:r>
        <w:rPr>
          <w:rFonts w:cs="Times New Roman" w:ascii="Times New Roman" w:hAnsi="Times New Roman"/>
          <w:sz w:val="24"/>
          <w:szCs w:val="24"/>
        </w:rPr>
        <w:t>2.</w:t>
        <w:tab/>
        <w:t>Smith SC, Benjamin EJ, Bonow RO, Braun LT, Creager MA, Franklin BA, Gibbons RJ, Grundy SM, Hiratzka LF, Jones DW, Lloyd-Jones DM, Minissian M, Mosca L, Peterson ED, Sacco RL, Spertus J, Stein JH, Taubert KA. AHA/ACCF secondary prevention and risk reduction therapy for patients with coronary and other atherosclerotic vascular disease: 2011 update: A guideline from the American Heart Association and American College of Cardiology Foundation. Circulation 2011;124:2458-73</w:t>
      </w:r>
    </w:p>
    <w:p>
      <w:pPr>
        <w:pStyle w:val="Normal"/>
        <w:spacing w:lineRule="auto" w:line="480" w:before="0" w:after="0"/>
        <w:rPr/>
      </w:pPr>
      <w:r>
        <w:rPr>
          <w:rFonts w:cs="Times New Roman" w:ascii="Times New Roman" w:hAnsi="Times New Roman"/>
          <w:sz w:val="24"/>
          <w:szCs w:val="24"/>
        </w:rPr>
        <w:t>3.</w:t>
        <w:tab/>
        <w:t>Stone NJ, Robinson JG, Lichtenstein AH, Bairey Merz N, Blum CB, Eckel RH, Goldberg AC, Gordon D, Levy D, Lloyd-Jones DM, McBride P, Sanford Schwartz J, Shero ST, Smith SC, Watson K, Wilson PWF. 2013 ACC/AHA guideline on the treatment of blood cholesterol to reduce atherosclerotic cardiovascular risk in adults: A report of the American College of Cardiology/American Heart Association Task Force on Practice Guidelines. Circulation 2014;129:S1-45.</w:t>
      </w:r>
    </w:p>
    <w:p>
      <w:pPr>
        <w:pStyle w:val="Normal"/>
        <w:spacing w:lineRule="auto" w:line="480" w:before="0" w:after="0"/>
        <w:rPr/>
      </w:pPr>
      <w:r>
        <w:rPr>
          <w:rFonts w:cs="Times New Roman" w:ascii="Times New Roman" w:hAnsi="Times New Roman"/>
          <w:sz w:val="24"/>
          <w:szCs w:val="24"/>
        </w:rPr>
        <w:t>4.</w:t>
        <w:tab/>
        <w:t>National Institute for Health and Care Excellence. Hypertension in adults: diagnosis and management. CG127. https://www.nice.org.uk/guidance/cg127 (Accessed 15 September 2017). London: NICE; 2011.</w:t>
      </w:r>
    </w:p>
    <w:p>
      <w:pPr>
        <w:pStyle w:val="Normal"/>
        <w:spacing w:lineRule="auto" w:line="480" w:before="0" w:after="0"/>
        <w:rPr/>
      </w:pPr>
      <w:r>
        <w:rPr>
          <w:rFonts w:cs="Times New Roman" w:ascii="Times New Roman" w:hAnsi="Times New Roman"/>
          <w:sz w:val="24"/>
          <w:szCs w:val="24"/>
        </w:rPr>
        <w:t>5.</w:t>
        <w:tab/>
        <w:t>National Institute for Health and Care Excellence. Secondary prevention of coronary heart disease. Indicator ID NM118. https://www.nice.org.uk/Media/Default/Standards-and-indicators/QOF%20Indicator%20Key%20documents/nm118-chd-guidance.pdf (Accessed 15 September 2017). London: NICE; 2015.</w:t>
      </w:r>
    </w:p>
    <w:p>
      <w:pPr>
        <w:pStyle w:val="Normal"/>
        <w:spacing w:lineRule="auto" w:line="480" w:before="0" w:after="0"/>
        <w:rPr/>
      </w:pPr>
      <w:r>
        <w:rPr>
          <w:rFonts w:cs="Times New Roman" w:ascii="Times New Roman" w:hAnsi="Times New Roman"/>
          <w:sz w:val="24"/>
          <w:szCs w:val="24"/>
        </w:rPr>
        <w:t>6.</w:t>
        <w:tab/>
        <w:t>National Institute for Health and Care Excellence. Myocardial infarction: cardiac rehabilitation and prevention of further cardiovascular disease. CG172. https://www.nice.org.uk/guidance/cg172 (Accessed 15 September 2017). London: NICE; 2013.</w:t>
      </w:r>
    </w:p>
    <w:p>
      <w:pPr>
        <w:pStyle w:val="Normal"/>
        <w:spacing w:lineRule="auto" w:line="480" w:before="0" w:after="0"/>
        <w:rPr/>
      </w:pPr>
      <w:r>
        <w:rPr>
          <w:rFonts w:cs="Times New Roman" w:ascii="Times New Roman" w:hAnsi="Times New Roman"/>
          <w:sz w:val="24"/>
          <w:szCs w:val="24"/>
        </w:rPr>
        <w:t>7.</w:t>
        <w:tab/>
        <w:t>National Institute for Health and Care Excellence. Stroke and transient ischaemic attack in over 16s: diagnosis and initial management. CG68. https://www.nice.org.uk/guidance/cg68 (Accessed 15 September 2017). London: NICE; 2008.</w:t>
      </w:r>
    </w:p>
    <w:p>
      <w:pPr>
        <w:pStyle w:val="Normal"/>
        <w:spacing w:lineRule="auto" w:line="480" w:before="0" w:after="0"/>
        <w:rPr/>
      </w:pPr>
      <w:r>
        <w:rPr>
          <w:rFonts w:cs="Times New Roman" w:ascii="Times New Roman" w:hAnsi="Times New Roman"/>
          <w:sz w:val="24"/>
          <w:szCs w:val="24"/>
        </w:rPr>
        <w:t>8.</w:t>
        <w:tab/>
        <w:t>National Institute for Health and Care Excellence. Peripheral arterial disease: diagnosis and management. CG147. https://www.nice.org.uk/guidance/cg147 (Accessed 15 September 2017). London: NICE; 2012.</w:t>
      </w:r>
    </w:p>
    <w:p>
      <w:pPr>
        <w:pStyle w:val="Normal"/>
        <w:rPr>
          <w:rFonts w:ascii="Times New Roman" w:hAnsi="Times New Roman" w:cs="Times New Roman"/>
          <w:b/>
          <w:b/>
          <w:color w:val="000000" w:themeColor="text1"/>
          <w:sz w:val="24"/>
          <w:szCs w:val="24"/>
          <w:highlight w:val="yellow"/>
        </w:rPr>
      </w:pPr>
      <w:r>
        <w:rPr>
          <w:rFonts w:cs="Times New Roman" w:ascii="Times New Roman" w:hAnsi="Times New Roman"/>
          <w:b/>
          <w:color w:val="000000" w:themeColor="text1"/>
          <w:sz w:val="24"/>
          <w:szCs w:val="24"/>
          <w:highlight w:val="yellow"/>
        </w:rP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9182522"/>
    </w:sdtPr>
    <w:sdtContent>
      <w:p>
        <w:pPr>
          <w:pStyle w:val="Footer"/>
          <w:jc w:val="right"/>
          <w:rPr/>
        </w:pPr>
        <w:r>
          <w:rPr/>
          <w:fldChar w:fldCharType="begin"/>
        </w:r>
        <w:r>
          <w:instrText> PAGE </w:instrText>
        </w:r>
        <w:r>
          <w:fldChar w:fldCharType="separate"/>
        </w:r>
        <w:r>
          <w:t>4</w:t>
        </w:r>
        <w:r>
          <w:fldChar w:fldCharType="end"/>
        </w:r>
      </w:p>
      <w:p>
        <w:pPr>
          <w:pStyle w:val="Footer"/>
          <w:rPr/>
        </w:pPr>
        <w:r>
          <w:rPr/>
        </w:r>
      </w:p>
    </w:sdtContent>
  </w:sdt>
</w:ft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513" w:leader="none"/>
        <w:tab w:val="right" w:pos="9026"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4</Pages>
  <Words>671</Words>
  <Characters>4304</Characters>
  <CharactersWithSpaces>4934</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2018-06-02T14:59:01Z</dcterms:created>
  <dc:creator/>
  <dc:description/>
  <dc:language>en-US</dc:language>
  <cp:lastModifiedBy/>
  <dcterms:modified xsi:type="dcterms:W3CDTF">2018-06-02T14:59:11Z</dcterms:modified>
  <cp:revision>1</cp:revision>
  <dc:subject/>
  <dc:title/>
</cp:coreProperties>
</file>