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Appendix 2- Subgroup analyses – European guideline targets </w:t>
      </w:r>
    </w:p>
    <w:p>
      <w:pPr>
        <w:pStyle w:val="Normal"/>
        <w:spacing w:lineRule="auto" w:line="480" w:before="0" w:after="0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Appendix 2 Table. Achievement of all three</w:t>
      </w:r>
      <w:r>
        <w:rPr>
          <w:rFonts w:cs="Times New Roman" w:ascii="Times New Roman" w:hAnsi="Times New Roman"/>
          <w:color w:val="000000" w:themeColor="text1"/>
          <w:sz w:val="24"/>
          <w:szCs w:val="24"/>
          <w:vertAlign w:val="superscript"/>
        </w:rPr>
        <w:t>a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European treatment targets simultaneously by subgroup at 12 months </w:t>
      </w:r>
    </w:p>
    <w:tbl>
      <w:tblPr>
        <w:tblStyle w:val="TableGrid"/>
        <w:tblW w:w="151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547"/>
        <w:gridCol w:w="1134"/>
        <w:gridCol w:w="1842"/>
        <w:gridCol w:w="2551"/>
        <w:gridCol w:w="1"/>
        <w:gridCol w:w="1841"/>
        <w:gridCol w:w="2551"/>
        <w:gridCol w:w="3"/>
        <w:gridCol w:w="1839"/>
        <w:gridCol w:w="3"/>
        <w:gridCol w:w="849"/>
      </w:tblGrid>
      <w:tr>
        <w:trPr/>
        <w:tc>
          <w:tcPr>
            <w:tcW w:w="3681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Subgroup </w:t>
            </w:r>
          </w:p>
        </w:tc>
        <w:tc>
          <w:tcPr>
            <w:tcW w:w="4394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Polypill-based care </w:t>
            </w:r>
          </w:p>
        </w:tc>
        <w:tc>
          <w:tcPr>
            <w:tcW w:w="4395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Usual care </w:t>
            </w:r>
          </w:p>
        </w:tc>
        <w:tc>
          <w:tcPr>
            <w:tcW w:w="184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RR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b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 (95% CI)</w:t>
            </w:r>
          </w:p>
        </w:tc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p het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b</w:t>
            </w:r>
          </w:p>
        </w:tc>
      </w:tr>
      <w:tr>
        <w:trPr/>
        <w:tc>
          <w:tcPr>
            <w:tcW w:w="3681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n/N (crude %)</w:t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Estimated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b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 % (95% CI)</w:t>
            </w:r>
          </w:p>
        </w:tc>
        <w:tc>
          <w:tcPr>
            <w:tcW w:w="184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n/N (crude %)</w:t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Estimated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b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 % (95% CI)</w:t>
            </w:r>
          </w:p>
        </w:tc>
        <w:tc>
          <w:tcPr>
            <w:tcW w:w="184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254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Age (years)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&lt;/=62</w:t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167/ 691 (24%)</w:t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24% (21-28%)</w:t>
            </w:r>
          </w:p>
        </w:tc>
        <w:tc>
          <w:tcPr>
            <w:tcW w:w="184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117/ 663 (18%)</w:t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18% (15-21%)</w:t>
            </w:r>
          </w:p>
        </w:tc>
        <w:tc>
          <w:tcPr>
            <w:tcW w:w="184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1.37 (1.11-1.69)</w:t>
            </w:r>
          </w:p>
        </w:tc>
        <w:tc>
          <w:tcPr>
            <w:tcW w:w="852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0.350</w:t>
            </w:r>
          </w:p>
        </w:tc>
      </w:tr>
      <w:tr>
        <w:trPr/>
        <w:tc>
          <w:tcPr>
            <w:tcW w:w="254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&gt;62</w:t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164/ 686 (24%)</w:t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24% (21-27%)</w:t>
            </w:r>
          </w:p>
        </w:tc>
        <w:tc>
          <w:tcPr>
            <w:tcW w:w="184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135/ 673 (20%)</w:t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20% (17-23%)</w:t>
            </w:r>
          </w:p>
        </w:tc>
        <w:tc>
          <w:tcPr>
            <w:tcW w:w="184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1.19 (0.97-1.46)</w:t>
            </w:r>
          </w:p>
        </w:tc>
        <w:tc>
          <w:tcPr>
            <w:tcW w:w="852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254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Sex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Female</w:t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66/ 330 (20%)</w:t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20% (16-25%)</w:t>
            </w:r>
          </w:p>
        </w:tc>
        <w:tc>
          <w:tcPr>
            <w:tcW w:w="184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49/ 311 (16%)</w:t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16% (12-20%)</w:t>
            </w:r>
          </w:p>
        </w:tc>
        <w:tc>
          <w:tcPr>
            <w:tcW w:w="184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1.27 (0.91-1.78)</w:t>
            </w:r>
          </w:p>
        </w:tc>
        <w:tc>
          <w:tcPr>
            <w:tcW w:w="852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0.971</w:t>
            </w:r>
          </w:p>
        </w:tc>
      </w:tr>
      <w:tr>
        <w:trPr/>
        <w:tc>
          <w:tcPr>
            <w:tcW w:w="254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Male</w:t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265/ 1047 (25%)</w:t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25% (23-28%)</w:t>
            </w:r>
          </w:p>
        </w:tc>
        <w:tc>
          <w:tcPr>
            <w:tcW w:w="184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203/ 1025 (20%)</w:t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20% (18-22%)</w:t>
            </w:r>
          </w:p>
        </w:tc>
        <w:tc>
          <w:tcPr>
            <w:tcW w:w="184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1.28 (1.09-1.50)</w:t>
            </w:r>
          </w:p>
        </w:tc>
        <w:tc>
          <w:tcPr>
            <w:tcW w:w="852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4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Baseline treatment modalities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0-1</w:t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42/ 121 (35%)</w:t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34% (27-44%)</w:t>
            </w:r>
          </w:p>
        </w:tc>
        <w:tc>
          <w:tcPr>
            <w:tcW w:w="184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14/ 124 (11%)</w:t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11% (7-18%)</w:t>
            </w:r>
          </w:p>
        </w:tc>
        <w:tc>
          <w:tcPr>
            <w:tcW w:w="184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3.07 (1.77-5.33)</w:t>
            </w:r>
          </w:p>
        </w:tc>
        <w:tc>
          <w:tcPr>
            <w:tcW w:w="852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0.001</w:t>
            </w:r>
          </w:p>
        </w:tc>
      </w:tr>
      <w:tr>
        <w:trPr/>
        <w:tc>
          <w:tcPr>
            <w:tcW w:w="254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54/ 201 (27%)</w:t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27% (21-34%)</w:t>
            </w:r>
          </w:p>
        </w:tc>
        <w:tc>
          <w:tcPr>
            <w:tcW w:w="184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30/ 181 (17%)</w:t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17% (12-23%)</w:t>
            </w:r>
          </w:p>
        </w:tc>
        <w:tc>
          <w:tcPr>
            <w:tcW w:w="184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1.62 (1.09-2.42)</w:t>
            </w:r>
          </w:p>
        </w:tc>
        <w:tc>
          <w:tcPr>
            <w:tcW w:w="852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254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235/1055 (22%)</w:t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22% (20-25%)</w:t>
            </w:r>
          </w:p>
        </w:tc>
        <w:tc>
          <w:tcPr>
            <w:tcW w:w="184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208/1031 (20%)</w:t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20% (18-23%)</w:t>
            </w:r>
          </w:p>
        </w:tc>
        <w:tc>
          <w:tcPr>
            <w:tcW w:w="184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1.10 (0.94-1.30)</w:t>
            </w:r>
          </w:p>
        </w:tc>
        <w:tc>
          <w:tcPr>
            <w:tcW w:w="852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254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Baseline use of all indicated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c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 medications 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172/ 635 (27%)</w:t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27% (24-31%)</w:t>
            </w:r>
          </w:p>
        </w:tc>
        <w:tc>
          <w:tcPr>
            <w:tcW w:w="184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95/ 581 (16%)</w:t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16% (14-20%)</w:t>
            </w:r>
          </w:p>
        </w:tc>
        <w:tc>
          <w:tcPr>
            <w:tcW w:w="184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1.66 (1.32-2.07)</w:t>
            </w:r>
          </w:p>
        </w:tc>
        <w:tc>
          <w:tcPr>
            <w:tcW w:w="852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0.002</w:t>
            </w:r>
          </w:p>
        </w:tc>
      </w:tr>
      <w:tr>
        <w:trPr/>
        <w:tc>
          <w:tcPr>
            <w:tcW w:w="254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159/ 724 (21%)</w:t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21% (19-25%)</w:t>
            </w:r>
          </w:p>
        </w:tc>
        <w:tc>
          <w:tcPr>
            <w:tcW w:w="184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157/ 755 (21%)</w:t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21% (18-24%)</w:t>
            </w:r>
          </w:p>
        </w:tc>
        <w:tc>
          <w:tcPr>
            <w:tcW w:w="184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1.03 (0.85-1.25)</w:t>
            </w:r>
          </w:p>
        </w:tc>
        <w:tc>
          <w:tcPr>
            <w:tcW w:w="852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254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CVD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112/ 322 (35%)</w:t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35% (28-43%)</w:t>
            </w:r>
          </w:p>
        </w:tc>
        <w:tc>
          <w:tcPr>
            <w:tcW w:w="184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70/ 298 (24%)</w:t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23% (18-30%)</w:t>
            </w:r>
          </w:p>
        </w:tc>
        <w:tc>
          <w:tcPr>
            <w:tcW w:w="184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1.48 (1.15-1.91)</w:t>
            </w:r>
          </w:p>
        </w:tc>
        <w:tc>
          <w:tcPr>
            <w:tcW w:w="852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0.151</w:t>
            </w:r>
          </w:p>
        </w:tc>
      </w:tr>
      <w:tr>
        <w:trPr/>
        <w:tc>
          <w:tcPr>
            <w:tcW w:w="254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219/1055 (21%)</w:t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18% (15-23%)</w:t>
            </w:r>
          </w:p>
        </w:tc>
        <w:tc>
          <w:tcPr>
            <w:tcW w:w="184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182/1038 (18%)</w:t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16% (12-19%)</w:t>
            </w:r>
          </w:p>
        </w:tc>
        <w:tc>
          <w:tcPr>
            <w:tcW w:w="184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1.18 (0.99-1.41)</w:t>
            </w:r>
          </w:p>
        </w:tc>
        <w:tc>
          <w:tcPr>
            <w:tcW w:w="852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</w:tr>
    </w:tbl>
    <w:p>
      <w:pPr>
        <w:pStyle w:val="Normal"/>
        <w:spacing w:lineRule="auto" w:line="480" w:before="0" w:after="0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CI=confidence interval, CVD=cardiovascular disease, het=heterogeneity (between subgroups), RR=risk ratio</w:t>
      </w:r>
    </w:p>
    <w:p>
      <w:pPr>
        <w:pStyle w:val="Normal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  <w:vertAlign w:val="superscript"/>
        </w:rPr>
        <w:t>a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Antiplatelet target only applicable to people with established cardiovascular disease</w:t>
      </w:r>
    </w:p>
    <w:p>
      <w:pPr>
        <w:pStyle w:val="Normal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  <w:vertAlign w:val="superscript"/>
        </w:rPr>
        <w:t>b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Estimated proportions, RR and p het were obtained from a log-binomial regression model as described in the methods section of the main paper</w:t>
      </w:r>
    </w:p>
    <w:p>
      <w:pPr>
        <w:pStyle w:val="Normal"/>
        <w:spacing w:lineRule="auto" w:line="480" w:before="0" w:after="0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  <w:vertAlign w:val="superscript"/>
        </w:rPr>
        <w:t>c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Statin, antiplatelet and </w:t>
      </w:r>
      <w:r>
        <w:rPr>
          <w:rFonts w:cs="Times New Roman" w:ascii="Times New Roman" w:hAnsi="Times New Roman"/>
          <w:color w:val="000000" w:themeColor="text1"/>
          <w:sz w:val="24"/>
          <w:szCs w:val="24"/>
          <w:u w:val="single"/>
        </w:rPr>
        <w:t>&gt;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2 BP-lowering medications; all were indicated according to the participant’s physician on trial entry</w:t>
      </w:r>
    </w:p>
    <w:sectPr>
      <w:footerReference w:type="default" r:id="rId2"/>
      <w:type w:val="nextPage"/>
      <w:pgSz w:orient="landscape" w:w="16838" w:h="11906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63594053"/>
    </w:sdtPr>
    <w:sdtContent>
      <w:p>
        <w:pPr>
          <w:pStyle w:val="Footer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</w:p>
      <w:p>
        <w:pPr>
          <w:pStyle w:val="Footer"/>
          <w:rPr/>
        </w:pPr>
        <w:r>
          <w:rPr/>
        </w:r>
      </w:p>
    </w:sdtContent>
  </w:sdt>
</w:ftr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Footer">
    <w:name w:val="Footer"/>
    <w:basedOn w:val="Normal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1</Pages>
  <Words>264</Words>
  <Characters>1465</Characters>
  <CharactersWithSpaces>1644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2018-06-02T14:54:24Z</dcterms:created>
  <dc:creator/>
  <dc:description/>
  <dc:language>en-US</dc:language>
  <cp:lastModifiedBy/>
  <dcterms:modified xsi:type="dcterms:W3CDTF">2018-06-02T14:54:47Z</dcterms:modified>
  <cp:revision>1</cp:revision>
  <dc:subject/>
  <dc:title/>
</cp:coreProperties>
</file>