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69F0A" w14:textId="77777777" w:rsidR="00FA4C84" w:rsidRPr="00125D33" w:rsidRDefault="00A82D00" w:rsidP="00D86314">
      <w:pPr>
        <w:pStyle w:val="Heading1"/>
        <w:spacing w:line="480" w:lineRule="auto"/>
        <w:rPr>
          <w:rFonts w:ascii="Arial" w:hAnsi="Arial" w:cs="Arial"/>
          <w:sz w:val="24"/>
          <w:szCs w:val="24"/>
        </w:rPr>
      </w:pPr>
      <w:r w:rsidRPr="00125D33">
        <w:rPr>
          <w:rFonts w:ascii="Arial" w:hAnsi="Arial" w:cs="Arial"/>
          <w:sz w:val="24"/>
          <w:szCs w:val="24"/>
        </w:rPr>
        <w:t>Supplementary data</w:t>
      </w:r>
    </w:p>
    <w:p w14:paraId="517906CF" w14:textId="5386CE42" w:rsidR="000215E5" w:rsidRDefault="000215E5">
      <w:pPr>
        <w:pStyle w:val="Heading2"/>
      </w:pPr>
      <w:r>
        <w:t>Supplemental Table S1</w:t>
      </w:r>
    </w:p>
    <w:p w14:paraId="7F87EB52" w14:textId="1C5B9ECE" w:rsidR="000215E5" w:rsidRPr="000215E5" w:rsidRDefault="000215E5" w:rsidP="000215E5">
      <w:pPr>
        <w:rPr>
          <w:rFonts w:ascii="Arial" w:hAnsi="Arial" w:cs="Arial"/>
          <w:sz w:val="24"/>
          <w:szCs w:val="24"/>
        </w:rPr>
      </w:pPr>
      <w:r w:rsidRPr="000215E5">
        <w:rPr>
          <w:rFonts w:ascii="Arial" w:hAnsi="Arial" w:cs="Arial"/>
          <w:sz w:val="24"/>
          <w:szCs w:val="24"/>
        </w:rPr>
        <w:t>PICOS criteria for inclusion of studies</w:t>
      </w:r>
    </w:p>
    <w:tbl>
      <w:tblPr>
        <w:tblStyle w:val="TableGrid"/>
        <w:tblW w:w="9352" w:type="dxa"/>
        <w:tblLook w:val="04A0" w:firstRow="1" w:lastRow="0" w:firstColumn="1" w:lastColumn="0" w:noHBand="0" w:noVBand="1"/>
      </w:tblPr>
      <w:tblGrid>
        <w:gridCol w:w="1696"/>
        <w:gridCol w:w="3828"/>
        <w:gridCol w:w="3828"/>
      </w:tblGrid>
      <w:tr w:rsidR="007E584D" w14:paraId="61061183" w14:textId="77777777" w:rsidTr="007E584D">
        <w:tc>
          <w:tcPr>
            <w:tcW w:w="1696" w:type="dxa"/>
          </w:tcPr>
          <w:p w14:paraId="0A9D6920" w14:textId="77777777" w:rsidR="007E584D" w:rsidRDefault="007E584D" w:rsidP="007E584D">
            <w:pPr>
              <w:pStyle w:val="Heading2"/>
              <w:jc w:val="center"/>
              <w:outlineLvl w:val="1"/>
            </w:pPr>
            <w:r>
              <w:t>Parameter</w:t>
            </w:r>
          </w:p>
        </w:tc>
        <w:tc>
          <w:tcPr>
            <w:tcW w:w="3828" w:type="dxa"/>
          </w:tcPr>
          <w:p w14:paraId="4CFF123F" w14:textId="569C5965" w:rsidR="007E584D" w:rsidRDefault="00C46921" w:rsidP="007E584D">
            <w:pPr>
              <w:pStyle w:val="Heading2"/>
              <w:jc w:val="center"/>
              <w:outlineLvl w:val="1"/>
            </w:pPr>
            <w:r>
              <w:t>Clinical trials</w:t>
            </w:r>
          </w:p>
        </w:tc>
        <w:tc>
          <w:tcPr>
            <w:tcW w:w="3828" w:type="dxa"/>
          </w:tcPr>
          <w:p w14:paraId="53D6963D" w14:textId="19B06063" w:rsidR="007E584D" w:rsidRDefault="007E584D" w:rsidP="007E584D">
            <w:pPr>
              <w:pStyle w:val="Heading2"/>
              <w:jc w:val="center"/>
              <w:outlineLvl w:val="1"/>
            </w:pPr>
            <w:r>
              <w:t>Longitudinal studies</w:t>
            </w:r>
          </w:p>
        </w:tc>
      </w:tr>
      <w:tr w:rsidR="007E584D" w14:paraId="48A15236" w14:textId="77777777" w:rsidTr="007E584D">
        <w:tc>
          <w:tcPr>
            <w:tcW w:w="1696" w:type="dxa"/>
          </w:tcPr>
          <w:p w14:paraId="40DACA99" w14:textId="77777777" w:rsidR="007E584D" w:rsidRDefault="007E584D" w:rsidP="007E584D">
            <w:pPr>
              <w:pStyle w:val="Heading2"/>
              <w:jc w:val="center"/>
              <w:outlineLvl w:val="1"/>
            </w:pPr>
            <w:r>
              <w:t>Population</w:t>
            </w:r>
          </w:p>
        </w:tc>
        <w:tc>
          <w:tcPr>
            <w:tcW w:w="3828" w:type="dxa"/>
          </w:tcPr>
          <w:p w14:paraId="76DA9210" w14:textId="1F77946B" w:rsidR="007E584D" w:rsidRDefault="007E584D" w:rsidP="007E584D">
            <w:pPr>
              <w:pStyle w:val="Heading2"/>
              <w:jc w:val="center"/>
              <w:outlineLvl w:val="1"/>
              <w:rPr>
                <w:b w:val="0"/>
              </w:rPr>
            </w:pPr>
            <w:r>
              <w:rPr>
                <w:b w:val="0"/>
              </w:rPr>
              <w:t xml:space="preserve">All adult populations (age </w:t>
            </w:r>
            <w:r w:rsidRPr="00FB58AF">
              <w:rPr>
                <w:b w:val="0"/>
                <w:u w:val="single"/>
              </w:rPr>
              <w:t>&gt;</w:t>
            </w:r>
            <w:r>
              <w:rPr>
                <w:b w:val="0"/>
              </w:rPr>
              <w:t xml:space="preserve"> 18 years)</w:t>
            </w:r>
          </w:p>
        </w:tc>
        <w:tc>
          <w:tcPr>
            <w:tcW w:w="3828" w:type="dxa"/>
          </w:tcPr>
          <w:p w14:paraId="249B1AAA" w14:textId="0C48CBCE" w:rsidR="007E584D" w:rsidRPr="00FB58AF" w:rsidRDefault="007E584D" w:rsidP="007E584D">
            <w:pPr>
              <w:pStyle w:val="Heading2"/>
              <w:jc w:val="center"/>
              <w:outlineLvl w:val="1"/>
              <w:rPr>
                <w:b w:val="0"/>
              </w:rPr>
            </w:pPr>
            <w:r>
              <w:rPr>
                <w:b w:val="0"/>
              </w:rPr>
              <w:t xml:space="preserve">All adult populations (age </w:t>
            </w:r>
            <w:r w:rsidRPr="00FB58AF">
              <w:rPr>
                <w:b w:val="0"/>
                <w:u w:val="single"/>
              </w:rPr>
              <w:t>&gt;</w:t>
            </w:r>
            <w:r>
              <w:rPr>
                <w:b w:val="0"/>
              </w:rPr>
              <w:t xml:space="preserve"> 18 years)</w:t>
            </w:r>
          </w:p>
        </w:tc>
      </w:tr>
      <w:tr w:rsidR="007E584D" w14:paraId="2ECBB51B" w14:textId="77777777" w:rsidTr="007E584D">
        <w:tc>
          <w:tcPr>
            <w:tcW w:w="1696" w:type="dxa"/>
          </w:tcPr>
          <w:p w14:paraId="6FDBB2C3" w14:textId="77777777" w:rsidR="007E584D" w:rsidRDefault="007E584D" w:rsidP="007E584D">
            <w:pPr>
              <w:pStyle w:val="Heading2"/>
              <w:jc w:val="center"/>
              <w:outlineLvl w:val="1"/>
            </w:pPr>
            <w:r>
              <w:t>Intervention</w:t>
            </w:r>
          </w:p>
        </w:tc>
        <w:tc>
          <w:tcPr>
            <w:tcW w:w="3828" w:type="dxa"/>
          </w:tcPr>
          <w:p w14:paraId="54E2AA33" w14:textId="498582AB" w:rsidR="007E584D" w:rsidRDefault="007E584D" w:rsidP="007E584D">
            <w:pPr>
              <w:pStyle w:val="Heading2"/>
              <w:jc w:val="center"/>
              <w:outlineLvl w:val="1"/>
              <w:rPr>
                <w:b w:val="0"/>
              </w:rPr>
            </w:pPr>
            <w:r>
              <w:rPr>
                <w:b w:val="0"/>
              </w:rPr>
              <w:t>Supplementation with vitamin K</w:t>
            </w:r>
          </w:p>
        </w:tc>
        <w:tc>
          <w:tcPr>
            <w:tcW w:w="3828" w:type="dxa"/>
          </w:tcPr>
          <w:p w14:paraId="5A65D82D" w14:textId="49D5D947" w:rsidR="007E584D" w:rsidRPr="00D707A6" w:rsidRDefault="007E584D" w:rsidP="007E584D">
            <w:pPr>
              <w:pStyle w:val="Heading2"/>
              <w:jc w:val="center"/>
              <w:outlineLvl w:val="1"/>
              <w:rPr>
                <w:b w:val="0"/>
              </w:rPr>
            </w:pPr>
            <w:r>
              <w:rPr>
                <w:b w:val="0"/>
              </w:rPr>
              <w:t>No intervention</w:t>
            </w:r>
          </w:p>
        </w:tc>
      </w:tr>
      <w:tr w:rsidR="007E584D" w14:paraId="5B01D3BC" w14:textId="77777777" w:rsidTr="007E584D">
        <w:tc>
          <w:tcPr>
            <w:tcW w:w="1696" w:type="dxa"/>
          </w:tcPr>
          <w:p w14:paraId="57EFA932" w14:textId="77777777" w:rsidR="007E584D" w:rsidRDefault="007E584D" w:rsidP="007E584D">
            <w:pPr>
              <w:pStyle w:val="Heading2"/>
              <w:jc w:val="center"/>
              <w:outlineLvl w:val="1"/>
            </w:pPr>
            <w:r>
              <w:t>Comparison</w:t>
            </w:r>
          </w:p>
        </w:tc>
        <w:tc>
          <w:tcPr>
            <w:tcW w:w="3828" w:type="dxa"/>
          </w:tcPr>
          <w:p w14:paraId="535A9E0C" w14:textId="21F2C3FF" w:rsidR="007E584D" w:rsidRDefault="007E584D" w:rsidP="007E584D">
            <w:pPr>
              <w:pStyle w:val="Heading2"/>
              <w:jc w:val="center"/>
              <w:outlineLvl w:val="1"/>
              <w:rPr>
                <w:b w:val="0"/>
              </w:rPr>
            </w:pPr>
            <w:r w:rsidRPr="00D707A6">
              <w:rPr>
                <w:b w:val="0"/>
              </w:rPr>
              <w:t>Treatment versus control</w:t>
            </w:r>
          </w:p>
        </w:tc>
        <w:tc>
          <w:tcPr>
            <w:tcW w:w="3828" w:type="dxa"/>
          </w:tcPr>
          <w:p w14:paraId="203ABB95" w14:textId="300A4604" w:rsidR="007E584D" w:rsidRPr="00D707A6" w:rsidRDefault="007E584D" w:rsidP="007E584D">
            <w:pPr>
              <w:pStyle w:val="Heading2"/>
              <w:jc w:val="center"/>
              <w:outlineLvl w:val="1"/>
              <w:rPr>
                <w:b w:val="0"/>
              </w:rPr>
            </w:pPr>
            <w:r>
              <w:rPr>
                <w:b w:val="0"/>
              </w:rPr>
              <w:t>Level of vitamin K dependent protein (continuous variable or high vs low)</w:t>
            </w:r>
          </w:p>
        </w:tc>
      </w:tr>
      <w:tr w:rsidR="007E584D" w14:paraId="661B0A68" w14:textId="77777777" w:rsidTr="007E584D">
        <w:tc>
          <w:tcPr>
            <w:tcW w:w="1696" w:type="dxa"/>
          </w:tcPr>
          <w:p w14:paraId="7024C0C4" w14:textId="77777777" w:rsidR="007E584D" w:rsidRDefault="007E584D" w:rsidP="007E584D">
            <w:pPr>
              <w:pStyle w:val="Heading2"/>
              <w:jc w:val="center"/>
              <w:outlineLvl w:val="1"/>
            </w:pPr>
            <w:r>
              <w:t>Outcome</w:t>
            </w:r>
          </w:p>
        </w:tc>
        <w:tc>
          <w:tcPr>
            <w:tcW w:w="3828" w:type="dxa"/>
          </w:tcPr>
          <w:p w14:paraId="58831EEE" w14:textId="7955DA5C" w:rsidR="007E584D" w:rsidRDefault="007E584D" w:rsidP="007E584D">
            <w:pPr>
              <w:pStyle w:val="Heading2"/>
              <w:jc w:val="center"/>
              <w:outlineLvl w:val="1"/>
              <w:rPr>
                <w:b w:val="0"/>
              </w:rPr>
            </w:pPr>
            <w:r>
              <w:rPr>
                <w:b w:val="0"/>
              </w:rPr>
              <w:t>Vascular calcification, vascular stiffness or vitamin K dependent protein</w:t>
            </w:r>
          </w:p>
        </w:tc>
        <w:tc>
          <w:tcPr>
            <w:tcW w:w="3828" w:type="dxa"/>
          </w:tcPr>
          <w:p w14:paraId="4D040781" w14:textId="7527F349" w:rsidR="007E584D" w:rsidRPr="00D707A6" w:rsidRDefault="007E584D" w:rsidP="007E584D">
            <w:pPr>
              <w:pStyle w:val="Heading2"/>
              <w:jc w:val="center"/>
              <w:outlineLvl w:val="1"/>
              <w:rPr>
                <w:b w:val="0"/>
              </w:rPr>
            </w:pPr>
            <w:r>
              <w:rPr>
                <w:b w:val="0"/>
              </w:rPr>
              <w:t>Hazard ratio of fatal or non-fatal cardiovascular disease or mortality</w:t>
            </w:r>
          </w:p>
        </w:tc>
      </w:tr>
      <w:tr w:rsidR="007E584D" w14:paraId="5CEB2821" w14:textId="77777777" w:rsidTr="007E584D">
        <w:tc>
          <w:tcPr>
            <w:tcW w:w="1696" w:type="dxa"/>
          </w:tcPr>
          <w:p w14:paraId="366B27F3" w14:textId="77777777" w:rsidR="007E584D" w:rsidRDefault="007E584D" w:rsidP="007E584D">
            <w:pPr>
              <w:pStyle w:val="Heading2"/>
              <w:jc w:val="center"/>
              <w:outlineLvl w:val="1"/>
            </w:pPr>
            <w:r>
              <w:t>Setting</w:t>
            </w:r>
          </w:p>
        </w:tc>
        <w:tc>
          <w:tcPr>
            <w:tcW w:w="3828" w:type="dxa"/>
          </w:tcPr>
          <w:p w14:paraId="5D4EFECF" w14:textId="6DA6FB9F" w:rsidR="007E584D" w:rsidRDefault="007E584D" w:rsidP="007E584D">
            <w:pPr>
              <w:pStyle w:val="Heading2"/>
              <w:jc w:val="center"/>
              <w:outlineLvl w:val="1"/>
              <w:rPr>
                <w:b w:val="0"/>
              </w:rPr>
            </w:pPr>
            <w:r>
              <w:rPr>
                <w:b w:val="0"/>
              </w:rPr>
              <w:t>Randomised or non-randomised controlled trial</w:t>
            </w:r>
          </w:p>
        </w:tc>
        <w:tc>
          <w:tcPr>
            <w:tcW w:w="3828" w:type="dxa"/>
          </w:tcPr>
          <w:p w14:paraId="47E86BE5" w14:textId="48E35E82" w:rsidR="007E584D" w:rsidRPr="00D707A6" w:rsidRDefault="007E584D" w:rsidP="007E584D">
            <w:pPr>
              <w:pStyle w:val="Heading2"/>
              <w:jc w:val="center"/>
              <w:outlineLvl w:val="1"/>
              <w:rPr>
                <w:b w:val="0"/>
              </w:rPr>
            </w:pPr>
            <w:r>
              <w:rPr>
                <w:b w:val="0"/>
              </w:rPr>
              <w:t>Longitudinal studies</w:t>
            </w:r>
          </w:p>
        </w:tc>
      </w:tr>
    </w:tbl>
    <w:p w14:paraId="66DEC0F5" w14:textId="77777777" w:rsidR="000215E5" w:rsidRPr="000215E5" w:rsidRDefault="000215E5" w:rsidP="000215E5"/>
    <w:p w14:paraId="66D71A8C" w14:textId="142A03B1" w:rsidR="00D36C9B" w:rsidRDefault="00D36C9B">
      <w:r>
        <w:br w:type="page"/>
      </w:r>
    </w:p>
    <w:p w14:paraId="2ADC5101" w14:textId="7A691AB4" w:rsidR="00C47419" w:rsidRDefault="00C47419" w:rsidP="00A3670F">
      <w:pPr>
        <w:pStyle w:val="Heading2"/>
      </w:pPr>
      <w:r>
        <w:lastRenderedPageBreak/>
        <w:t>Supplementa</w:t>
      </w:r>
      <w:r w:rsidR="005B68DC">
        <w:t>l</w:t>
      </w:r>
      <w:r>
        <w:t xml:space="preserve"> Table S2</w:t>
      </w:r>
    </w:p>
    <w:p w14:paraId="2D326527" w14:textId="77777777" w:rsidR="00D755F3" w:rsidRPr="00D755F3" w:rsidRDefault="00D755F3" w:rsidP="00D755F3"/>
    <w:p w14:paraId="18AD38AF" w14:textId="62EA1821" w:rsidR="00C47419" w:rsidRPr="0023180C" w:rsidRDefault="00552CE9">
      <w:pPr>
        <w:rPr>
          <w:rFonts w:ascii="Arial" w:eastAsiaTheme="majorEastAsia" w:hAnsi="Arial" w:cs="Arial"/>
          <w:sz w:val="24"/>
          <w:szCs w:val="24"/>
        </w:rPr>
      </w:pPr>
      <w:bookmarkStart w:id="0" w:name="_GoBack"/>
      <w:r w:rsidRPr="0023180C">
        <w:rPr>
          <w:rFonts w:ascii="Arial" w:eastAsiaTheme="majorEastAsia" w:hAnsi="Arial" w:cs="Arial"/>
          <w:sz w:val="24"/>
          <w:szCs w:val="24"/>
        </w:rPr>
        <w:t>Meta-regression model with the mean difference (%) in a) vascular calcification and b) vascular stiffness as a dependent variable</w:t>
      </w:r>
    </w:p>
    <w:tbl>
      <w:tblPr>
        <w:tblStyle w:val="TableGrid"/>
        <w:tblW w:w="0" w:type="auto"/>
        <w:tblLayout w:type="fixed"/>
        <w:tblLook w:val="04A0" w:firstRow="1" w:lastRow="0" w:firstColumn="1" w:lastColumn="0" w:noHBand="0" w:noVBand="1"/>
      </w:tblPr>
      <w:tblGrid>
        <w:gridCol w:w="2820"/>
        <w:gridCol w:w="1712"/>
        <w:gridCol w:w="1712"/>
        <w:gridCol w:w="1237"/>
        <w:gridCol w:w="1687"/>
      </w:tblGrid>
      <w:tr w:rsidR="00C47419" w:rsidRPr="00C47419" w14:paraId="1CC70A60" w14:textId="77777777" w:rsidTr="00822EC5">
        <w:trPr>
          <w:trHeight w:val="430"/>
        </w:trPr>
        <w:tc>
          <w:tcPr>
            <w:tcW w:w="9168" w:type="dxa"/>
            <w:gridSpan w:val="5"/>
          </w:tcPr>
          <w:bookmarkEnd w:id="0"/>
          <w:p w14:paraId="5D8D9CD9" w14:textId="77777777" w:rsidR="00C47419" w:rsidRPr="00C47419" w:rsidRDefault="00C47419" w:rsidP="00822EC5">
            <w:pPr>
              <w:pStyle w:val="ListParagraph"/>
              <w:numPr>
                <w:ilvl w:val="0"/>
                <w:numId w:val="1"/>
              </w:numPr>
              <w:jc w:val="center"/>
              <w:rPr>
                <w:b/>
                <w:sz w:val="24"/>
                <w:szCs w:val="24"/>
              </w:rPr>
            </w:pPr>
            <w:r w:rsidRPr="00C47419">
              <w:rPr>
                <w:b/>
                <w:sz w:val="24"/>
                <w:szCs w:val="24"/>
              </w:rPr>
              <w:t>Impact of covariates on heterogeneity in vascular calcification studies</w:t>
            </w:r>
          </w:p>
        </w:tc>
      </w:tr>
      <w:tr w:rsidR="00C47419" w:rsidRPr="00C47419" w14:paraId="34F99026" w14:textId="77777777" w:rsidTr="00822EC5">
        <w:trPr>
          <w:trHeight w:val="167"/>
        </w:trPr>
        <w:tc>
          <w:tcPr>
            <w:tcW w:w="2820" w:type="dxa"/>
          </w:tcPr>
          <w:p w14:paraId="1AE5BAAD" w14:textId="77777777" w:rsidR="00C47419" w:rsidRPr="00C47419" w:rsidRDefault="00C47419" w:rsidP="00822EC5">
            <w:pPr>
              <w:jc w:val="center"/>
              <w:rPr>
                <w:b/>
                <w:sz w:val="24"/>
                <w:szCs w:val="24"/>
              </w:rPr>
            </w:pPr>
            <w:r w:rsidRPr="00C47419">
              <w:rPr>
                <w:b/>
                <w:sz w:val="24"/>
                <w:szCs w:val="24"/>
              </w:rPr>
              <w:t>Variable</w:t>
            </w:r>
          </w:p>
        </w:tc>
        <w:tc>
          <w:tcPr>
            <w:tcW w:w="6348" w:type="dxa"/>
            <w:gridSpan w:val="4"/>
          </w:tcPr>
          <w:p w14:paraId="7A37425B" w14:textId="77777777" w:rsidR="00C47419" w:rsidRPr="00C47419" w:rsidRDefault="00C47419" w:rsidP="00822EC5">
            <w:pPr>
              <w:jc w:val="center"/>
              <w:rPr>
                <w:b/>
                <w:sz w:val="24"/>
                <w:szCs w:val="24"/>
              </w:rPr>
            </w:pPr>
            <w:r w:rsidRPr="00C47419">
              <w:rPr>
                <w:b/>
                <w:sz w:val="24"/>
                <w:szCs w:val="24"/>
              </w:rPr>
              <w:t>Unadjusted</w:t>
            </w:r>
          </w:p>
        </w:tc>
      </w:tr>
      <w:tr w:rsidR="00C47419" w:rsidRPr="00C47419" w14:paraId="0ADFE2A7" w14:textId="77777777" w:rsidTr="00822EC5">
        <w:trPr>
          <w:trHeight w:val="167"/>
        </w:trPr>
        <w:tc>
          <w:tcPr>
            <w:tcW w:w="2820" w:type="dxa"/>
          </w:tcPr>
          <w:p w14:paraId="651BDBA4" w14:textId="77777777" w:rsidR="00C47419" w:rsidRPr="00C47419" w:rsidRDefault="00C47419" w:rsidP="00822EC5">
            <w:pPr>
              <w:rPr>
                <w:b/>
                <w:sz w:val="24"/>
                <w:szCs w:val="24"/>
              </w:rPr>
            </w:pPr>
          </w:p>
        </w:tc>
        <w:tc>
          <w:tcPr>
            <w:tcW w:w="1712" w:type="dxa"/>
          </w:tcPr>
          <w:p w14:paraId="78C61A9C" w14:textId="77777777" w:rsidR="00C47419" w:rsidRPr="00C47419" w:rsidRDefault="00C47419" w:rsidP="00822EC5">
            <w:pPr>
              <w:jc w:val="center"/>
              <w:rPr>
                <w:b/>
                <w:sz w:val="24"/>
                <w:szCs w:val="24"/>
              </w:rPr>
            </w:pPr>
            <w:r w:rsidRPr="00C47419">
              <w:rPr>
                <w:b/>
                <w:sz w:val="24"/>
                <w:szCs w:val="24"/>
              </w:rPr>
              <w:t>Coefficient</w:t>
            </w:r>
          </w:p>
        </w:tc>
        <w:tc>
          <w:tcPr>
            <w:tcW w:w="1712" w:type="dxa"/>
          </w:tcPr>
          <w:p w14:paraId="62F7D26C" w14:textId="77777777" w:rsidR="00C47419" w:rsidRPr="00C47419" w:rsidRDefault="00C47419" w:rsidP="00822EC5">
            <w:pPr>
              <w:jc w:val="center"/>
              <w:rPr>
                <w:b/>
                <w:sz w:val="24"/>
                <w:szCs w:val="24"/>
              </w:rPr>
            </w:pPr>
            <w:r w:rsidRPr="00C47419">
              <w:rPr>
                <w:b/>
                <w:sz w:val="24"/>
                <w:szCs w:val="24"/>
              </w:rPr>
              <w:t>95% CI</w:t>
            </w:r>
          </w:p>
        </w:tc>
        <w:tc>
          <w:tcPr>
            <w:tcW w:w="1237" w:type="dxa"/>
          </w:tcPr>
          <w:p w14:paraId="58506DE6" w14:textId="77777777" w:rsidR="00C47419" w:rsidRPr="00C47419" w:rsidRDefault="00C47419" w:rsidP="00822EC5">
            <w:pPr>
              <w:jc w:val="center"/>
              <w:rPr>
                <w:b/>
                <w:sz w:val="24"/>
                <w:szCs w:val="24"/>
              </w:rPr>
            </w:pPr>
            <w:r w:rsidRPr="00C47419">
              <w:rPr>
                <w:b/>
                <w:sz w:val="24"/>
                <w:szCs w:val="24"/>
              </w:rPr>
              <w:t>P</w:t>
            </w:r>
          </w:p>
        </w:tc>
        <w:tc>
          <w:tcPr>
            <w:tcW w:w="1687" w:type="dxa"/>
          </w:tcPr>
          <w:p w14:paraId="2094E347" w14:textId="77777777" w:rsidR="00C47419" w:rsidRPr="00C47419" w:rsidRDefault="00C47419" w:rsidP="00822EC5">
            <w:pPr>
              <w:jc w:val="center"/>
              <w:rPr>
                <w:b/>
                <w:sz w:val="24"/>
                <w:szCs w:val="24"/>
                <w:vertAlign w:val="superscript"/>
              </w:rPr>
            </w:pPr>
            <w:r w:rsidRPr="00C47419">
              <w:rPr>
                <w:b/>
                <w:sz w:val="24"/>
                <w:szCs w:val="24"/>
              </w:rPr>
              <w:t>Tau</w:t>
            </w:r>
            <w:r w:rsidRPr="00C47419">
              <w:rPr>
                <w:b/>
                <w:sz w:val="24"/>
                <w:szCs w:val="24"/>
                <w:vertAlign w:val="superscript"/>
              </w:rPr>
              <w:t>2</w:t>
            </w:r>
          </w:p>
        </w:tc>
      </w:tr>
      <w:tr w:rsidR="00C47419" w:rsidRPr="00C47419" w14:paraId="7B0E4C65" w14:textId="77777777" w:rsidTr="00822EC5">
        <w:trPr>
          <w:trHeight w:val="167"/>
        </w:trPr>
        <w:tc>
          <w:tcPr>
            <w:tcW w:w="2820" w:type="dxa"/>
          </w:tcPr>
          <w:p w14:paraId="4A06DB90" w14:textId="77777777" w:rsidR="00C47419" w:rsidRPr="00C47419" w:rsidRDefault="00C47419" w:rsidP="00822EC5">
            <w:pPr>
              <w:rPr>
                <w:b/>
                <w:sz w:val="24"/>
                <w:szCs w:val="24"/>
              </w:rPr>
            </w:pPr>
            <w:r w:rsidRPr="00C47419">
              <w:rPr>
                <w:b/>
                <w:sz w:val="24"/>
                <w:szCs w:val="24"/>
              </w:rPr>
              <w:t>No covariate</w:t>
            </w:r>
          </w:p>
        </w:tc>
        <w:tc>
          <w:tcPr>
            <w:tcW w:w="4661" w:type="dxa"/>
            <w:gridSpan w:val="3"/>
          </w:tcPr>
          <w:p w14:paraId="0421F450" w14:textId="77777777" w:rsidR="00C47419" w:rsidRPr="00C47419" w:rsidRDefault="00C47419" w:rsidP="00822EC5">
            <w:pPr>
              <w:jc w:val="center"/>
              <w:rPr>
                <w:b/>
                <w:sz w:val="24"/>
                <w:szCs w:val="24"/>
              </w:rPr>
            </w:pPr>
          </w:p>
        </w:tc>
        <w:tc>
          <w:tcPr>
            <w:tcW w:w="1687" w:type="dxa"/>
          </w:tcPr>
          <w:p w14:paraId="25A6621A" w14:textId="77777777" w:rsidR="00C47419" w:rsidRPr="00C47419" w:rsidRDefault="00C47419" w:rsidP="00822EC5">
            <w:pPr>
              <w:jc w:val="center"/>
              <w:rPr>
                <w:b/>
                <w:sz w:val="24"/>
                <w:szCs w:val="24"/>
              </w:rPr>
            </w:pPr>
            <w:r w:rsidRPr="00C47419">
              <w:rPr>
                <w:b/>
                <w:sz w:val="24"/>
                <w:szCs w:val="24"/>
              </w:rPr>
              <w:t>0.00</w:t>
            </w:r>
          </w:p>
        </w:tc>
      </w:tr>
      <w:tr w:rsidR="00C47419" w:rsidRPr="00C47419" w14:paraId="34955ECA" w14:textId="77777777" w:rsidTr="00822EC5">
        <w:trPr>
          <w:trHeight w:val="334"/>
        </w:trPr>
        <w:tc>
          <w:tcPr>
            <w:tcW w:w="2820" w:type="dxa"/>
          </w:tcPr>
          <w:p w14:paraId="6E95AD6F" w14:textId="77777777" w:rsidR="00C47419" w:rsidRPr="00C47419" w:rsidRDefault="00C47419" w:rsidP="00822EC5">
            <w:pPr>
              <w:rPr>
                <w:sz w:val="24"/>
                <w:szCs w:val="24"/>
              </w:rPr>
            </w:pPr>
            <w:r w:rsidRPr="00C47419">
              <w:rPr>
                <w:sz w:val="24"/>
                <w:szCs w:val="24"/>
              </w:rPr>
              <w:t>Year of publication</w:t>
            </w:r>
          </w:p>
        </w:tc>
        <w:tc>
          <w:tcPr>
            <w:tcW w:w="1712" w:type="dxa"/>
          </w:tcPr>
          <w:p w14:paraId="7F2B6724" w14:textId="77777777" w:rsidR="00C47419" w:rsidRPr="00C47419" w:rsidRDefault="00C47419" w:rsidP="00822EC5">
            <w:pPr>
              <w:jc w:val="center"/>
              <w:rPr>
                <w:sz w:val="24"/>
                <w:szCs w:val="24"/>
              </w:rPr>
            </w:pPr>
            <w:r w:rsidRPr="00C47419">
              <w:rPr>
                <w:sz w:val="24"/>
                <w:szCs w:val="24"/>
              </w:rPr>
              <w:t>0.25</w:t>
            </w:r>
          </w:p>
        </w:tc>
        <w:tc>
          <w:tcPr>
            <w:tcW w:w="1712" w:type="dxa"/>
          </w:tcPr>
          <w:p w14:paraId="3F20DEF7" w14:textId="77777777" w:rsidR="00C47419" w:rsidRPr="00C47419" w:rsidRDefault="00C47419" w:rsidP="00822EC5">
            <w:pPr>
              <w:jc w:val="center"/>
              <w:rPr>
                <w:sz w:val="24"/>
                <w:szCs w:val="24"/>
              </w:rPr>
            </w:pPr>
            <w:r w:rsidRPr="00C47419">
              <w:rPr>
                <w:sz w:val="24"/>
                <w:szCs w:val="24"/>
              </w:rPr>
              <w:t>-6.52, 7.01</w:t>
            </w:r>
          </w:p>
        </w:tc>
        <w:tc>
          <w:tcPr>
            <w:tcW w:w="1237" w:type="dxa"/>
          </w:tcPr>
          <w:p w14:paraId="6B16928E" w14:textId="77777777" w:rsidR="00C47419" w:rsidRPr="00C47419" w:rsidRDefault="00C47419" w:rsidP="00822EC5">
            <w:pPr>
              <w:jc w:val="center"/>
              <w:rPr>
                <w:sz w:val="24"/>
                <w:szCs w:val="24"/>
              </w:rPr>
            </w:pPr>
            <w:r w:rsidRPr="00C47419">
              <w:rPr>
                <w:sz w:val="24"/>
                <w:szCs w:val="24"/>
              </w:rPr>
              <w:t>0.94</w:t>
            </w:r>
          </w:p>
        </w:tc>
        <w:tc>
          <w:tcPr>
            <w:tcW w:w="1687" w:type="dxa"/>
          </w:tcPr>
          <w:p w14:paraId="5C012FD8" w14:textId="77777777" w:rsidR="00C47419" w:rsidRPr="00C47419" w:rsidRDefault="00C47419" w:rsidP="00822EC5">
            <w:pPr>
              <w:jc w:val="center"/>
              <w:rPr>
                <w:sz w:val="24"/>
                <w:szCs w:val="24"/>
              </w:rPr>
            </w:pPr>
            <w:r w:rsidRPr="00C47419">
              <w:rPr>
                <w:sz w:val="24"/>
                <w:szCs w:val="24"/>
              </w:rPr>
              <w:t>80.0</w:t>
            </w:r>
          </w:p>
        </w:tc>
      </w:tr>
      <w:tr w:rsidR="00C47419" w:rsidRPr="00C47419" w14:paraId="30B5BB1F" w14:textId="77777777" w:rsidTr="00822EC5">
        <w:trPr>
          <w:trHeight w:val="334"/>
        </w:trPr>
        <w:tc>
          <w:tcPr>
            <w:tcW w:w="2820" w:type="dxa"/>
          </w:tcPr>
          <w:p w14:paraId="616245BF" w14:textId="77777777" w:rsidR="00C47419" w:rsidRPr="00C47419" w:rsidRDefault="00C47419" w:rsidP="00822EC5">
            <w:pPr>
              <w:rPr>
                <w:sz w:val="24"/>
                <w:szCs w:val="24"/>
              </w:rPr>
            </w:pPr>
            <w:r w:rsidRPr="00C47419">
              <w:rPr>
                <w:sz w:val="24"/>
                <w:szCs w:val="24"/>
              </w:rPr>
              <w:t>Duration of follow-up</w:t>
            </w:r>
          </w:p>
        </w:tc>
        <w:tc>
          <w:tcPr>
            <w:tcW w:w="1712" w:type="dxa"/>
          </w:tcPr>
          <w:p w14:paraId="121A8C7A" w14:textId="77777777" w:rsidR="00C47419" w:rsidRPr="00C47419" w:rsidRDefault="00C47419" w:rsidP="00822EC5">
            <w:pPr>
              <w:jc w:val="center"/>
              <w:rPr>
                <w:sz w:val="24"/>
                <w:szCs w:val="24"/>
              </w:rPr>
            </w:pPr>
            <w:r w:rsidRPr="00C47419">
              <w:rPr>
                <w:sz w:val="24"/>
                <w:szCs w:val="24"/>
              </w:rPr>
              <w:t>-0.72</w:t>
            </w:r>
          </w:p>
        </w:tc>
        <w:tc>
          <w:tcPr>
            <w:tcW w:w="1712" w:type="dxa"/>
          </w:tcPr>
          <w:p w14:paraId="1F8BE0DD" w14:textId="77777777" w:rsidR="00C47419" w:rsidRPr="00C47419" w:rsidRDefault="00C47419" w:rsidP="00822EC5">
            <w:pPr>
              <w:jc w:val="center"/>
              <w:rPr>
                <w:sz w:val="24"/>
                <w:szCs w:val="24"/>
              </w:rPr>
            </w:pPr>
            <w:r w:rsidRPr="00C47419">
              <w:rPr>
                <w:sz w:val="24"/>
                <w:szCs w:val="24"/>
              </w:rPr>
              <w:t>-2.70,1.27</w:t>
            </w:r>
          </w:p>
        </w:tc>
        <w:tc>
          <w:tcPr>
            <w:tcW w:w="1237" w:type="dxa"/>
          </w:tcPr>
          <w:p w14:paraId="543E4F22" w14:textId="77777777" w:rsidR="00C47419" w:rsidRPr="00C47419" w:rsidRDefault="00C47419" w:rsidP="00822EC5">
            <w:pPr>
              <w:jc w:val="center"/>
              <w:rPr>
                <w:sz w:val="24"/>
                <w:szCs w:val="24"/>
              </w:rPr>
            </w:pPr>
            <w:r w:rsidRPr="00C47419">
              <w:rPr>
                <w:sz w:val="24"/>
                <w:szCs w:val="24"/>
              </w:rPr>
              <w:t>0.48</w:t>
            </w:r>
          </w:p>
        </w:tc>
        <w:tc>
          <w:tcPr>
            <w:tcW w:w="1687" w:type="dxa"/>
          </w:tcPr>
          <w:p w14:paraId="756EA4D0" w14:textId="77777777" w:rsidR="00C47419" w:rsidRPr="00C47419" w:rsidRDefault="00C47419" w:rsidP="00822EC5">
            <w:pPr>
              <w:jc w:val="center"/>
              <w:rPr>
                <w:sz w:val="24"/>
                <w:szCs w:val="24"/>
              </w:rPr>
            </w:pPr>
            <w:r w:rsidRPr="00C47419">
              <w:rPr>
                <w:sz w:val="24"/>
                <w:szCs w:val="24"/>
              </w:rPr>
              <w:t>23.8</w:t>
            </w:r>
          </w:p>
        </w:tc>
      </w:tr>
      <w:tr w:rsidR="00C47419" w:rsidRPr="00C47419" w14:paraId="51DC259B" w14:textId="77777777" w:rsidTr="00822EC5">
        <w:trPr>
          <w:trHeight w:val="334"/>
        </w:trPr>
        <w:tc>
          <w:tcPr>
            <w:tcW w:w="2820" w:type="dxa"/>
          </w:tcPr>
          <w:p w14:paraId="46D85BF8" w14:textId="77777777" w:rsidR="00C47419" w:rsidRPr="00C47419" w:rsidRDefault="00C47419" w:rsidP="00822EC5">
            <w:pPr>
              <w:rPr>
                <w:sz w:val="24"/>
                <w:szCs w:val="24"/>
              </w:rPr>
            </w:pPr>
            <w:r w:rsidRPr="00C47419">
              <w:rPr>
                <w:sz w:val="24"/>
                <w:szCs w:val="24"/>
              </w:rPr>
              <w:t>Vitamin K form (K1/K2)</w:t>
            </w:r>
          </w:p>
        </w:tc>
        <w:tc>
          <w:tcPr>
            <w:tcW w:w="1712" w:type="dxa"/>
          </w:tcPr>
          <w:p w14:paraId="754D0C69" w14:textId="77777777" w:rsidR="00C47419" w:rsidRPr="00C47419" w:rsidRDefault="00C47419" w:rsidP="00822EC5">
            <w:pPr>
              <w:jc w:val="center"/>
              <w:rPr>
                <w:sz w:val="24"/>
                <w:szCs w:val="24"/>
              </w:rPr>
            </w:pPr>
            <w:r w:rsidRPr="00C47419">
              <w:rPr>
                <w:sz w:val="24"/>
                <w:szCs w:val="24"/>
              </w:rPr>
              <w:t>15.16</w:t>
            </w:r>
          </w:p>
        </w:tc>
        <w:tc>
          <w:tcPr>
            <w:tcW w:w="1712" w:type="dxa"/>
          </w:tcPr>
          <w:p w14:paraId="27E217C0" w14:textId="77777777" w:rsidR="00C47419" w:rsidRPr="00C47419" w:rsidRDefault="00C47419" w:rsidP="00822EC5">
            <w:pPr>
              <w:jc w:val="center"/>
              <w:rPr>
                <w:sz w:val="24"/>
                <w:szCs w:val="24"/>
              </w:rPr>
            </w:pPr>
            <w:r w:rsidRPr="00C47419">
              <w:rPr>
                <w:sz w:val="24"/>
                <w:szCs w:val="24"/>
              </w:rPr>
              <w:t>-6.52, 36.84</w:t>
            </w:r>
          </w:p>
        </w:tc>
        <w:tc>
          <w:tcPr>
            <w:tcW w:w="1237" w:type="dxa"/>
          </w:tcPr>
          <w:p w14:paraId="27B5E11D" w14:textId="77777777" w:rsidR="00C47419" w:rsidRPr="00C47419" w:rsidRDefault="00C47419" w:rsidP="00822EC5">
            <w:pPr>
              <w:jc w:val="center"/>
              <w:rPr>
                <w:sz w:val="24"/>
                <w:szCs w:val="24"/>
              </w:rPr>
            </w:pPr>
            <w:r w:rsidRPr="00C47419">
              <w:rPr>
                <w:sz w:val="24"/>
                <w:szCs w:val="24"/>
              </w:rPr>
              <w:t>0.17</w:t>
            </w:r>
          </w:p>
        </w:tc>
        <w:tc>
          <w:tcPr>
            <w:tcW w:w="1687" w:type="dxa"/>
          </w:tcPr>
          <w:p w14:paraId="0789F080" w14:textId="77777777" w:rsidR="00C47419" w:rsidRPr="00C47419" w:rsidRDefault="00C47419" w:rsidP="00822EC5">
            <w:pPr>
              <w:jc w:val="center"/>
              <w:rPr>
                <w:sz w:val="24"/>
                <w:szCs w:val="24"/>
              </w:rPr>
            </w:pPr>
            <w:r w:rsidRPr="00C47419">
              <w:rPr>
                <w:sz w:val="24"/>
                <w:szCs w:val="24"/>
              </w:rPr>
              <w:t>0.00</w:t>
            </w:r>
          </w:p>
        </w:tc>
      </w:tr>
      <w:tr w:rsidR="00C47419" w:rsidRPr="00C47419" w14:paraId="7F0A9220" w14:textId="77777777" w:rsidTr="00822EC5">
        <w:trPr>
          <w:trHeight w:val="167"/>
        </w:trPr>
        <w:tc>
          <w:tcPr>
            <w:tcW w:w="2820" w:type="dxa"/>
          </w:tcPr>
          <w:p w14:paraId="059B939D" w14:textId="77777777" w:rsidR="00C47419" w:rsidRPr="00C47419" w:rsidRDefault="00C47419" w:rsidP="00822EC5">
            <w:pPr>
              <w:rPr>
                <w:sz w:val="24"/>
                <w:szCs w:val="24"/>
              </w:rPr>
            </w:pPr>
            <w:r w:rsidRPr="00C47419">
              <w:rPr>
                <w:sz w:val="24"/>
                <w:szCs w:val="24"/>
              </w:rPr>
              <w:t>Dose</w:t>
            </w:r>
          </w:p>
        </w:tc>
        <w:tc>
          <w:tcPr>
            <w:tcW w:w="1712" w:type="dxa"/>
          </w:tcPr>
          <w:p w14:paraId="3C7A9B84" w14:textId="77777777" w:rsidR="00C47419" w:rsidRPr="00C47419" w:rsidRDefault="00C47419" w:rsidP="00822EC5">
            <w:pPr>
              <w:jc w:val="center"/>
              <w:rPr>
                <w:sz w:val="24"/>
                <w:szCs w:val="24"/>
              </w:rPr>
            </w:pPr>
            <w:r w:rsidRPr="00C47419">
              <w:rPr>
                <w:sz w:val="24"/>
                <w:szCs w:val="24"/>
              </w:rPr>
              <w:t>-0.01</w:t>
            </w:r>
          </w:p>
        </w:tc>
        <w:tc>
          <w:tcPr>
            <w:tcW w:w="1712" w:type="dxa"/>
          </w:tcPr>
          <w:p w14:paraId="46ACFA9C" w14:textId="77777777" w:rsidR="00C47419" w:rsidRPr="00C47419" w:rsidRDefault="00C47419" w:rsidP="00822EC5">
            <w:pPr>
              <w:jc w:val="center"/>
              <w:rPr>
                <w:sz w:val="24"/>
                <w:szCs w:val="24"/>
              </w:rPr>
            </w:pPr>
            <w:r w:rsidRPr="00C47419">
              <w:rPr>
                <w:sz w:val="24"/>
                <w:szCs w:val="24"/>
              </w:rPr>
              <w:t>-0.02, 0.004</w:t>
            </w:r>
          </w:p>
        </w:tc>
        <w:tc>
          <w:tcPr>
            <w:tcW w:w="1237" w:type="dxa"/>
          </w:tcPr>
          <w:p w14:paraId="7516FC79" w14:textId="77777777" w:rsidR="00C47419" w:rsidRPr="00C47419" w:rsidRDefault="00C47419" w:rsidP="00822EC5">
            <w:pPr>
              <w:jc w:val="center"/>
              <w:rPr>
                <w:sz w:val="24"/>
                <w:szCs w:val="24"/>
              </w:rPr>
            </w:pPr>
            <w:r w:rsidRPr="00C47419">
              <w:rPr>
                <w:sz w:val="24"/>
                <w:szCs w:val="24"/>
              </w:rPr>
              <w:t>0.23</w:t>
            </w:r>
          </w:p>
        </w:tc>
        <w:tc>
          <w:tcPr>
            <w:tcW w:w="1687" w:type="dxa"/>
          </w:tcPr>
          <w:p w14:paraId="0DE0AAF1" w14:textId="77777777" w:rsidR="00C47419" w:rsidRPr="00C47419" w:rsidRDefault="00C47419" w:rsidP="00822EC5">
            <w:pPr>
              <w:jc w:val="center"/>
              <w:rPr>
                <w:sz w:val="24"/>
                <w:szCs w:val="24"/>
              </w:rPr>
            </w:pPr>
            <w:r w:rsidRPr="00C47419">
              <w:rPr>
                <w:sz w:val="24"/>
                <w:szCs w:val="24"/>
              </w:rPr>
              <w:t>0.00</w:t>
            </w:r>
          </w:p>
        </w:tc>
      </w:tr>
      <w:tr w:rsidR="00C47419" w:rsidRPr="00C47419" w14:paraId="6A3FA0AF" w14:textId="77777777" w:rsidTr="00822EC5">
        <w:trPr>
          <w:trHeight w:val="334"/>
        </w:trPr>
        <w:tc>
          <w:tcPr>
            <w:tcW w:w="2820" w:type="dxa"/>
          </w:tcPr>
          <w:p w14:paraId="5394C6C4" w14:textId="77777777" w:rsidR="00C47419" w:rsidRPr="00C47419" w:rsidRDefault="00C47419" w:rsidP="00822EC5">
            <w:pPr>
              <w:rPr>
                <w:sz w:val="24"/>
                <w:szCs w:val="24"/>
              </w:rPr>
            </w:pPr>
            <w:r w:rsidRPr="00C47419">
              <w:rPr>
                <w:sz w:val="24"/>
                <w:szCs w:val="24"/>
              </w:rPr>
              <w:t>Outcome</w:t>
            </w:r>
          </w:p>
        </w:tc>
        <w:tc>
          <w:tcPr>
            <w:tcW w:w="1712" w:type="dxa"/>
          </w:tcPr>
          <w:p w14:paraId="0D9A31D6" w14:textId="77777777" w:rsidR="00C47419" w:rsidRPr="00C47419" w:rsidRDefault="00C47419" w:rsidP="00822EC5">
            <w:pPr>
              <w:jc w:val="center"/>
              <w:rPr>
                <w:sz w:val="24"/>
                <w:szCs w:val="24"/>
              </w:rPr>
            </w:pPr>
            <w:r w:rsidRPr="00C47419">
              <w:rPr>
                <w:sz w:val="24"/>
                <w:szCs w:val="24"/>
              </w:rPr>
              <w:t>-11.74</w:t>
            </w:r>
          </w:p>
        </w:tc>
        <w:tc>
          <w:tcPr>
            <w:tcW w:w="1712" w:type="dxa"/>
          </w:tcPr>
          <w:p w14:paraId="6F76900B" w14:textId="77777777" w:rsidR="00C47419" w:rsidRPr="00C47419" w:rsidRDefault="00C47419" w:rsidP="00822EC5">
            <w:pPr>
              <w:jc w:val="center"/>
              <w:rPr>
                <w:sz w:val="24"/>
                <w:szCs w:val="24"/>
              </w:rPr>
            </w:pPr>
            <w:r w:rsidRPr="00C47419">
              <w:rPr>
                <w:sz w:val="24"/>
                <w:szCs w:val="24"/>
              </w:rPr>
              <w:t>-32.27, 8.78</w:t>
            </w:r>
          </w:p>
        </w:tc>
        <w:tc>
          <w:tcPr>
            <w:tcW w:w="1237" w:type="dxa"/>
          </w:tcPr>
          <w:p w14:paraId="3280E3C4" w14:textId="77777777" w:rsidR="00C47419" w:rsidRPr="00C47419" w:rsidRDefault="00C47419" w:rsidP="00822EC5">
            <w:pPr>
              <w:jc w:val="center"/>
              <w:rPr>
                <w:sz w:val="24"/>
                <w:szCs w:val="24"/>
              </w:rPr>
            </w:pPr>
            <w:r w:rsidRPr="00C47419">
              <w:rPr>
                <w:sz w:val="24"/>
                <w:szCs w:val="24"/>
              </w:rPr>
              <w:t>0.26</w:t>
            </w:r>
          </w:p>
        </w:tc>
        <w:tc>
          <w:tcPr>
            <w:tcW w:w="1687" w:type="dxa"/>
          </w:tcPr>
          <w:p w14:paraId="15AEB417" w14:textId="77777777" w:rsidR="00C47419" w:rsidRPr="00C47419" w:rsidRDefault="00C47419" w:rsidP="00822EC5">
            <w:pPr>
              <w:jc w:val="center"/>
              <w:rPr>
                <w:sz w:val="24"/>
                <w:szCs w:val="24"/>
              </w:rPr>
            </w:pPr>
            <w:r w:rsidRPr="00C47419">
              <w:rPr>
                <w:sz w:val="24"/>
                <w:szCs w:val="24"/>
              </w:rPr>
              <w:t>0.00</w:t>
            </w:r>
          </w:p>
        </w:tc>
      </w:tr>
    </w:tbl>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802"/>
        <w:gridCol w:w="1701"/>
        <w:gridCol w:w="2308"/>
        <w:gridCol w:w="980"/>
        <w:gridCol w:w="1371"/>
      </w:tblGrid>
      <w:tr w:rsidR="00C47419" w:rsidRPr="00C47419" w14:paraId="0B492EC5" w14:textId="77777777" w:rsidTr="00822EC5">
        <w:trPr>
          <w:trHeight w:val="416"/>
        </w:trPr>
        <w:tc>
          <w:tcPr>
            <w:tcW w:w="9162" w:type="dxa"/>
            <w:gridSpan w:val="5"/>
          </w:tcPr>
          <w:p w14:paraId="26043A9C" w14:textId="77777777" w:rsidR="00C47419" w:rsidRPr="00C47419" w:rsidRDefault="00C47419" w:rsidP="00822EC5">
            <w:pPr>
              <w:pStyle w:val="ListParagraph"/>
              <w:numPr>
                <w:ilvl w:val="0"/>
                <w:numId w:val="1"/>
              </w:numPr>
              <w:jc w:val="center"/>
              <w:rPr>
                <w:b/>
                <w:sz w:val="24"/>
                <w:szCs w:val="24"/>
              </w:rPr>
            </w:pPr>
            <w:r w:rsidRPr="00C47419">
              <w:rPr>
                <w:b/>
                <w:sz w:val="24"/>
                <w:szCs w:val="24"/>
              </w:rPr>
              <w:t>Impact of covariates on heterogeneity in vascular stiffness studies</w:t>
            </w:r>
          </w:p>
        </w:tc>
      </w:tr>
      <w:tr w:rsidR="00C47419" w:rsidRPr="00C47419" w14:paraId="6902B1A9" w14:textId="77777777" w:rsidTr="00822EC5">
        <w:trPr>
          <w:trHeight w:val="149"/>
        </w:trPr>
        <w:tc>
          <w:tcPr>
            <w:tcW w:w="2802" w:type="dxa"/>
          </w:tcPr>
          <w:p w14:paraId="1193E29B" w14:textId="77777777" w:rsidR="00C47419" w:rsidRPr="00C47419" w:rsidRDefault="00C47419" w:rsidP="00822EC5">
            <w:pPr>
              <w:jc w:val="center"/>
              <w:rPr>
                <w:b/>
                <w:sz w:val="24"/>
                <w:szCs w:val="24"/>
              </w:rPr>
            </w:pPr>
            <w:r w:rsidRPr="00C47419">
              <w:rPr>
                <w:b/>
                <w:sz w:val="24"/>
                <w:szCs w:val="24"/>
              </w:rPr>
              <w:t>Variable</w:t>
            </w:r>
          </w:p>
        </w:tc>
        <w:tc>
          <w:tcPr>
            <w:tcW w:w="6360" w:type="dxa"/>
            <w:gridSpan w:val="4"/>
          </w:tcPr>
          <w:p w14:paraId="71692022" w14:textId="77777777" w:rsidR="00C47419" w:rsidRPr="00C47419" w:rsidRDefault="00C47419" w:rsidP="00822EC5">
            <w:pPr>
              <w:jc w:val="center"/>
              <w:rPr>
                <w:b/>
                <w:sz w:val="24"/>
                <w:szCs w:val="24"/>
              </w:rPr>
            </w:pPr>
            <w:r w:rsidRPr="00C47419">
              <w:rPr>
                <w:b/>
                <w:sz w:val="24"/>
                <w:szCs w:val="24"/>
              </w:rPr>
              <w:t>Unadjusted</w:t>
            </w:r>
          </w:p>
        </w:tc>
      </w:tr>
      <w:tr w:rsidR="00C47419" w:rsidRPr="00C47419" w14:paraId="39C1A2CF" w14:textId="77777777" w:rsidTr="00822EC5">
        <w:trPr>
          <w:trHeight w:val="149"/>
        </w:trPr>
        <w:tc>
          <w:tcPr>
            <w:tcW w:w="2802" w:type="dxa"/>
          </w:tcPr>
          <w:p w14:paraId="27667D3C" w14:textId="77777777" w:rsidR="00C47419" w:rsidRPr="00C47419" w:rsidRDefault="00C47419" w:rsidP="00822EC5">
            <w:pPr>
              <w:rPr>
                <w:b/>
                <w:sz w:val="24"/>
                <w:szCs w:val="24"/>
              </w:rPr>
            </w:pPr>
          </w:p>
        </w:tc>
        <w:tc>
          <w:tcPr>
            <w:tcW w:w="1701" w:type="dxa"/>
          </w:tcPr>
          <w:p w14:paraId="21DF1C4C" w14:textId="77777777" w:rsidR="00C47419" w:rsidRPr="00C47419" w:rsidRDefault="00C47419" w:rsidP="00822EC5">
            <w:pPr>
              <w:jc w:val="center"/>
              <w:rPr>
                <w:b/>
                <w:sz w:val="24"/>
                <w:szCs w:val="24"/>
              </w:rPr>
            </w:pPr>
            <w:r w:rsidRPr="00C47419">
              <w:rPr>
                <w:b/>
                <w:sz w:val="24"/>
                <w:szCs w:val="24"/>
              </w:rPr>
              <w:t>Coefficient</w:t>
            </w:r>
          </w:p>
        </w:tc>
        <w:tc>
          <w:tcPr>
            <w:tcW w:w="2308" w:type="dxa"/>
          </w:tcPr>
          <w:p w14:paraId="074D5D9D" w14:textId="77777777" w:rsidR="00C47419" w:rsidRPr="00C47419" w:rsidRDefault="00C47419" w:rsidP="00822EC5">
            <w:pPr>
              <w:jc w:val="center"/>
              <w:rPr>
                <w:b/>
                <w:sz w:val="24"/>
                <w:szCs w:val="24"/>
              </w:rPr>
            </w:pPr>
            <w:r w:rsidRPr="00C47419">
              <w:rPr>
                <w:b/>
                <w:sz w:val="24"/>
                <w:szCs w:val="24"/>
              </w:rPr>
              <w:t>95% CI</w:t>
            </w:r>
          </w:p>
        </w:tc>
        <w:tc>
          <w:tcPr>
            <w:tcW w:w="980" w:type="dxa"/>
          </w:tcPr>
          <w:p w14:paraId="3E0D06E2" w14:textId="77777777" w:rsidR="00C47419" w:rsidRPr="00C47419" w:rsidRDefault="00C47419" w:rsidP="00822EC5">
            <w:pPr>
              <w:jc w:val="center"/>
              <w:rPr>
                <w:b/>
                <w:sz w:val="24"/>
                <w:szCs w:val="24"/>
              </w:rPr>
            </w:pPr>
            <w:r w:rsidRPr="00C47419">
              <w:rPr>
                <w:b/>
                <w:sz w:val="24"/>
                <w:szCs w:val="24"/>
              </w:rPr>
              <w:t>P</w:t>
            </w:r>
          </w:p>
        </w:tc>
        <w:tc>
          <w:tcPr>
            <w:tcW w:w="1371" w:type="dxa"/>
          </w:tcPr>
          <w:p w14:paraId="14CDE472" w14:textId="77777777" w:rsidR="00C47419" w:rsidRPr="00C47419" w:rsidRDefault="00C47419" w:rsidP="00822EC5">
            <w:pPr>
              <w:jc w:val="center"/>
              <w:rPr>
                <w:b/>
                <w:sz w:val="24"/>
                <w:szCs w:val="24"/>
                <w:vertAlign w:val="superscript"/>
              </w:rPr>
            </w:pPr>
            <w:r w:rsidRPr="00C47419">
              <w:rPr>
                <w:b/>
                <w:sz w:val="24"/>
                <w:szCs w:val="24"/>
              </w:rPr>
              <w:t>Tau</w:t>
            </w:r>
            <w:r w:rsidRPr="00C47419">
              <w:rPr>
                <w:b/>
                <w:sz w:val="24"/>
                <w:szCs w:val="24"/>
                <w:vertAlign w:val="superscript"/>
              </w:rPr>
              <w:t>2</w:t>
            </w:r>
          </w:p>
        </w:tc>
      </w:tr>
      <w:tr w:rsidR="00C47419" w:rsidRPr="00C47419" w14:paraId="27A796FE" w14:textId="77777777" w:rsidTr="00822EC5">
        <w:trPr>
          <w:trHeight w:val="149"/>
        </w:trPr>
        <w:tc>
          <w:tcPr>
            <w:tcW w:w="2802" w:type="dxa"/>
          </w:tcPr>
          <w:p w14:paraId="548FBE48" w14:textId="77777777" w:rsidR="00C47419" w:rsidRPr="00C47419" w:rsidRDefault="00C47419" w:rsidP="00822EC5">
            <w:pPr>
              <w:rPr>
                <w:b/>
                <w:sz w:val="24"/>
                <w:szCs w:val="24"/>
              </w:rPr>
            </w:pPr>
            <w:r w:rsidRPr="00C47419">
              <w:rPr>
                <w:b/>
                <w:sz w:val="24"/>
                <w:szCs w:val="24"/>
              </w:rPr>
              <w:t>No covariate</w:t>
            </w:r>
          </w:p>
        </w:tc>
        <w:tc>
          <w:tcPr>
            <w:tcW w:w="4989" w:type="dxa"/>
            <w:gridSpan w:val="3"/>
          </w:tcPr>
          <w:p w14:paraId="2983BD41" w14:textId="77777777" w:rsidR="00C47419" w:rsidRPr="00C47419" w:rsidRDefault="00C47419" w:rsidP="00822EC5">
            <w:pPr>
              <w:jc w:val="center"/>
              <w:rPr>
                <w:b/>
                <w:sz w:val="24"/>
                <w:szCs w:val="24"/>
              </w:rPr>
            </w:pPr>
          </w:p>
        </w:tc>
        <w:tc>
          <w:tcPr>
            <w:tcW w:w="1371" w:type="dxa"/>
          </w:tcPr>
          <w:p w14:paraId="3E002C12" w14:textId="77777777" w:rsidR="00C47419" w:rsidRPr="00C47419" w:rsidRDefault="00C47419" w:rsidP="00822EC5">
            <w:pPr>
              <w:jc w:val="center"/>
              <w:rPr>
                <w:b/>
                <w:sz w:val="24"/>
                <w:szCs w:val="24"/>
              </w:rPr>
            </w:pPr>
            <w:r w:rsidRPr="00C47419">
              <w:rPr>
                <w:b/>
                <w:sz w:val="24"/>
                <w:szCs w:val="24"/>
              </w:rPr>
              <w:t>6.39</w:t>
            </w:r>
          </w:p>
        </w:tc>
      </w:tr>
      <w:tr w:rsidR="00C47419" w:rsidRPr="00C47419" w14:paraId="11374795" w14:textId="77777777" w:rsidTr="00822EC5">
        <w:trPr>
          <w:trHeight w:val="299"/>
        </w:trPr>
        <w:tc>
          <w:tcPr>
            <w:tcW w:w="2802" w:type="dxa"/>
          </w:tcPr>
          <w:p w14:paraId="635849B1" w14:textId="77777777" w:rsidR="00C47419" w:rsidRPr="00C47419" w:rsidRDefault="00C47419" w:rsidP="00822EC5">
            <w:pPr>
              <w:rPr>
                <w:sz w:val="24"/>
                <w:szCs w:val="24"/>
              </w:rPr>
            </w:pPr>
            <w:r w:rsidRPr="00C47419">
              <w:rPr>
                <w:sz w:val="24"/>
                <w:szCs w:val="24"/>
              </w:rPr>
              <w:t>Year of publication</w:t>
            </w:r>
          </w:p>
        </w:tc>
        <w:tc>
          <w:tcPr>
            <w:tcW w:w="1701" w:type="dxa"/>
          </w:tcPr>
          <w:p w14:paraId="4D0FE6B6" w14:textId="77777777" w:rsidR="00C47419" w:rsidRPr="00C47419" w:rsidRDefault="00C47419" w:rsidP="00822EC5">
            <w:pPr>
              <w:jc w:val="center"/>
              <w:rPr>
                <w:sz w:val="24"/>
                <w:szCs w:val="24"/>
              </w:rPr>
            </w:pPr>
            <w:r w:rsidRPr="00C47419">
              <w:rPr>
                <w:sz w:val="24"/>
                <w:szCs w:val="24"/>
              </w:rPr>
              <w:t>0.55</w:t>
            </w:r>
          </w:p>
        </w:tc>
        <w:tc>
          <w:tcPr>
            <w:tcW w:w="2308" w:type="dxa"/>
          </w:tcPr>
          <w:p w14:paraId="7612C508" w14:textId="77777777" w:rsidR="00C47419" w:rsidRPr="00C47419" w:rsidRDefault="00C47419" w:rsidP="00822EC5">
            <w:pPr>
              <w:jc w:val="center"/>
              <w:rPr>
                <w:sz w:val="24"/>
                <w:szCs w:val="24"/>
              </w:rPr>
            </w:pPr>
            <w:r w:rsidRPr="00C47419">
              <w:rPr>
                <w:sz w:val="24"/>
                <w:szCs w:val="24"/>
              </w:rPr>
              <w:t>-0.12, 1.21</w:t>
            </w:r>
          </w:p>
        </w:tc>
        <w:tc>
          <w:tcPr>
            <w:tcW w:w="980" w:type="dxa"/>
          </w:tcPr>
          <w:p w14:paraId="491DB9D8" w14:textId="77777777" w:rsidR="00C47419" w:rsidRPr="00C47419" w:rsidRDefault="00C47419" w:rsidP="00822EC5">
            <w:pPr>
              <w:jc w:val="center"/>
              <w:rPr>
                <w:sz w:val="24"/>
                <w:szCs w:val="24"/>
              </w:rPr>
            </w:pPr>
            <w:r w:rsidRPr="00C47419">
              <w:rPr>
                <w:sz w:val="24"/>
                <w:szCs w:val="24"/>
              </w:rPr>
              <w:t>0.11</w:t>
            </w:r>
          </w:p>
        </w:tc>
        <w:tc>
          <w:tcPr>
            <w:tcW w:w="1371" w:type="dxa"/>
          </w:tcPr>
          <w:p w14:paraId="146F69B7" w14:textId="77777777" w:rsidR="00C47419" w:rsidRPr="00C47419" w:rsidRDefault="00C47419" w:rsidP="00822EC5">
            <w:pPr>
              <w:jc w:val="center"/>
              <w:rPr>
                <w:sz w:val="24"/>
                <w:szCs w:val="24"/>
              </w:rPr>
            </w:pPr>
            <w:r w:rsidRPr="00C47419">
              <w:rPr>
                <w:sz w:val="24"/>
                <w:szCs w:val="24"/>
              </w:rPr>
              <w:t>0.76</w:t>
            </w:r>
          </w:p>
        </w:tc>
      </w:tr>
      <w:tr w:rsidR="00C47419" w:rsidRPr="00C47419" w14:paraId="13A58379" w14:textId="77777777" w:rsidTr="00822EC5">
        <w:trPr>
          <w:trHeight w:val="299"/>
        </w:trPr>
        <w:tc>
          <w:tcPr>
            <w:tcW w:w="2802" w:type="dxa"/>
          </w:tcPr>
          <w:p w14:paraId="10C1D827" w14:textId="77777777" w:rsidR="00C47419" w:rsidRPr="00C47419" w:rsidRDefault="00C47419" w:rsidP="00822EC5">
            <w:pPr>
              <w:rPr>
                <w:sz w:val="24"/>
                <w:szCs w:val="24"/>
              </w:rPr>
            </w:pPr>
            <w:r w:rsidRPr="00C47419">
              <w:rPr>
                <w:sz w:val="24"/>
                <w:szCs w:val="24"/>
              </w:rPr>
              <w:t>Duration of follow-up</w:t>
            </w:r>
          </w:p>
        </w:tc>
        <w:tc>
          <w:tcPr>
            <w:tcW w:w="1701" w:type="dxa"/>
          </w:tcPr>
          <w:p w14:paraId="778E0C68" w14:textId="77777777" w:rsidR="00C47419" w:rsidRPr="00C47419" w:rsidRDefault="00C47419" w:rsidP="00822EC5">
            <w:pPr>
              <w:jc w:val="center"/>
              <w:rPr>
                <w:sz w:val="24"/>
                <w:szCs w:val="24"/>
              </w:rPr>
            </w:pPr>
            <w:r w:rsidRPr="00C47419">
              <w:rPr>
                <w:sz w:val="24"/>
                <w:szCs w:val="24"/>
              </w:rPr>
              <w:t>-0.18</w:t>
            </w:r>
          </w:p>
        </w:tc>
        <w:tc>
          <w:tcPr>
            <w:tcW w:w="2308" w:type="dxa"/>
          </w:tcPr>
          <w:p w14:paraId="1F7EF37C" w14:textId="77777777" w:rsidR="00C47419" w:rsidRPr="00C47419" w:rsidRDefault="00C47419" w:rsidP="00822EC5">
            <w:pPr>
              <w:jc w:val="center"/>
              <w:rPr>
                <w:sz w:val="24"/>
                <w:szCs w:val="24"/>
              </w:rPr>
            </w:pPr>
            <w:r w:rsidRPr="00C47419">
              <w:rPr>
                <w:sz w:val="24"/>
                <w:szCs w:val="24"/>
              </w:rPr>
              <w:t>-0.43, 0.07</w:t>
            </w:r>
          </w:p>
        </w:tc>
        <w:tc>
          <w:tcPr>
            <w:tcW w:w="980" w:type="dxa"/>
          </w:tcPr>
          <w:p w14:paraId="644F9FB5" w14:textId="77777777" w:rsidR="00C47419" w:rsidRPr="00C47419" w:rsidRDefault="00C47419" w:rsidP="00822EC5">
            <w:pPr>
              <w:jc w:val="center"/>
              <w:rPr>
                <w:sz w:val="24"/>
                <w:szCs w:val="24"/>
              </w:rPr>
            </w:pPr>
            <w:r w:rsidRPr="00C47419">
              <w:rPr>
                <w:sz w:val="24"/>
                <w:szCs w:val="24"/>
              </w:rPr>
              <w:t>0.16</w:t>
            </w:r>
          </w:p>
        </w:tc>
        <w:tc>
          <w:tcPr>
            <w:tcW w:w="1371" w:type="dxa"/>
          </w:tcPr>
          <w:p w14:paraId="5DAEBD6A" w14:textId="77777777" w:rsidR="00C47419" w:rsidRPr="00C47419" w:rsidRDefault="00C47419" w:rsidP="00822EC5">
            <w:pPr>
              <w:jc w:val="center"/>
              <w:rPr>
                <w:sz w:val="24"/>
                <w:szCs w:val="24"/>
              </w:rPr>
            </w:pPr>
            <w:r w:rsidRPr="00C47419">
              <w:rPr>
                <w:sz w:val="24"/>
                <w:szCs w:val="24"/>
              </w:rPr>
              <w:t>2.83</w:t>
            </w:r>
          </w:p>
        </w:tc>
      </w:tr>
      <w:tr w:rsidR="00C47419" w:rsidRPr="00C47419" w14:paraId="5324FC07" w14:textId="77777777" w:rsidTr="00822EC5">
        <w:trPr>
          <w:trHeight w:val="299"/>
        </w:trPr>
        <w:tc>
          <w:tcPr>
            <w:tcW w:w="2802" w:type="dxa"/>
          </w:tcPr>
          <w:p w14:paraId="4FB16504" w14:textId="77777777" w:rsidR="00C47419" w:rsidRPr="00C47419" w:rsidRDefault="00C47419" w:rsidP="00822EC5">
            <w:pPr>
              <w:rPr>
                <w:sz w:val="24"/>
                <w:szCs w:val="24"/>
              </w:rPr>
            </w:pPr>
            <w:r w:rsidRPr="00C47419">
              <w:rPr>
                <w:sz w:val="24"/>
                <w:szCs w:val="24"/>
              </w:rPr>
              <w:t>Vitamin K form (K1/K2)</w:t>
            </w:r>
          </w:p>
        </w:tc>
        <w:tc>
          <w:tcPr>
            <w:tcW w:w="1701" w:type="dxa"/>
          </w:tcPr>
          <w:p w14:paraId="637D1CCC" w14:textId="77777777" w:rsidR="00C47419" w:rsidRPr="00C47419" w:rsidRDefault="00C47419" w:rsidP="00822EC5">
            <w:pPr>
              <w:jc w:val="center"/>
              <w:rPr>
                <w:sz w:val="24"/>
                <w:szCs w:val="24"/>
              </w:rPr>
            </w:pPr>
            <w:r w:rsidRPr="00C47419">
              <w:rPr>
                <w:sz w:val="24"/>
                <w:szCs w:val="24"/>
              </w:rPr>
              <w:t>5.98</w:t>
            </w:r>
          </w:p>
        </w:tc>
        <w:tc>
          <w:tcPr>
            <w:tcW w:w="2308" w:type="dxa"/>
          </w:tcPr>
          <w:p w14:paraId="51C6AFDA" w14:textId="77777777" w:rsidR="00C47419" w:rsidRPr="00C47419" w:rsidRDefault="00C47419" w:rsidP="00822EC5">
            <w:pPr>
              <w:jc w:val="center"/>
              <w:rPr>
                <w:sz w:val="24"/>
                <w:szCs w:val="24"/>
              </w:rPr>
            </w:pPr>
            <w:r w:rsidRPr="00C47419">
              <w:rPr>
                <w:sz w:val="24"/>
                <w:szCs w:val="24"/>
              </w:rPr>
              <w:t>-2.28, 14.25</w:t>
            </w:r>
          </w:p>
        </w:tc>
        <w:tc>
          <w:tcPr>
            <w:tcW w:w="980" w:type="dxa"/>
          </w:tcPr>
          <w:p w14:paraId="4E550DB2" w14:textId="77777777" w:rsidR="00C47419" w:rsidRPr="00C47419" w:rsidRDefault="00C47419" w:rsidP="00822EC5">
            <w:pPr>
              <w:jc w:val="center"/>
              <w:rPr>
                <w:sz w:val="24"/>
                <w:szCs w:val="24"/>
              </w:rPr>
            </w:pPr>
            <w:r w:rsidRPr="00C47419">
              <w:rPr>
                <w:sz w:val="24"/>
                <w:szCs w:val="24"/>
              </w:rPr>
              <w:t>0.16</w:t>
            </w:r>
          </w:p>
        </w:tc>
        <w:tc>
          <w:tcPr>
            <w:tcW w:w="1371" w:type="dxa"/>
          </w:tcPr>
          <w:p w14:paraId="2FFB34CA" w14:textId="77777777" w:rsidR="00C47419" w:rsidRPr="00C47419" w:rsidRDefault="00C47419" w:rsidP="00822EC5">
            <w:pPr>
              <w:jc w:val="center"/>
              <w:rPr>
                <w:sz w:val="24"/>
                <w:szCs w:val="24"/>
              </w:rPr>
            </w:pPr>
            <w:r w:rsidRPr="00C47419">
              <w:rPr>
                <w:sz w:val="24"/>
                <w:szCs w:val="24"/>
              </w:rPr>
              <w:t>2.77</w:t>
            </w:r>
          </w:p>
        </w:tc>
      </w:tr>
      <w:tr w:rsidR="00C47419" w:rsidRPr="00C47419" w14:paraId="4DE679DB" w14:textId="77777777" w:rsidTr="00822EC5">
        <w:trPr>
          <w:trHeight w:val="307"/>
        </w:trPr>
        <w:tc>
          <w:tcPr>
            <w:tcW w:w="2802" w:type="dxa"/>
          </w:tcPr>
          <w:p w14:paraId="4CE57FCB" w14:textId="77777777" w:rsidR="00C47419" w:rsidRPr="00C47419" w:rsidRDefault="00C47419" w:rsidP="00822EC5">
            <w:pPr>
              <w:rPr>
                <w:sz w:val="24"/>
                <w:szCs w:val="24"/>
              </w:rPr>
            </w:pPr>
            <w:r w:rsidRPr="00C47419">
              <w:rPr>
                <w:sz w:val="24"/>
                <w:szCs w:val="24"/>
              </w:rPr>
              <w:t>Dose</w:t>
            </w:r>
          </w:p>
        </w:tc>
        <w:tc>
          <w:tcPr>
            <w:tcW w:w="1701" w:type="dxa"/>
          </w:tcPr>
          <w:p w14:paraId="1B647420" w14:textId="77777777" w:rsidR="00C47419" w:rsidRPr="00C47419" w:rsidRDefault="00C47419" w:rsidP="00822EC5">
            <w:pPr>
              <w:jc w:val="center"/>
              <w:rPr>
                <w:sz w:val="24"/>
                <w:szCs w:val="24"/>
              </w:rPr>
            </w:pPr>
            <w:r w:rsidRPr="00C47419">
              <w:rPr>
                <w:sz w:val="24"/>
                <w:szCs w:val="24"/>
              </w:rPr>
              <w:t>-0.01</w:t>
            </w:r>
          </w:p>
        </w:tc>
        <w:tc>
          <w:tcPr>
            <w:tcW w:w="2308" w:type="dxa"/>
          </w:tcPr>
          <w:p w14:paraId="77C7C03F" w14:textId="77777777" w:rsidR="00C47419" w:rsidRPr="00C47419" w:rsidRDefault="00C47419" w:rsidP="00822EC5">
            <w:pPr>
              <w:jc w:val="center"/>
              <w:rPr>
                <w:sz w:val="24"/>
                <w:szCs w:val="24"/>
              </w:rPr>
            </w:pPr>
            <w:r w:rsidRPr="00C47419">
              <w:rPr>
                <w:sz w:val="24"/>
                <w:szCs w:val="24"/>
              </w:rPr>
              <w:t>-0.02, 0.001</w:t>
            </w:r>
          </w:p>
        </w:tc>
        <w:tc>
          <w:tcPr>
            <w:tcW w:w="980" w:type="dxa"/>
          </w:tcPr>
          <w:p w14:paraId="45271BCF" w14:textId="77777777" w:rsidR="00C47419" w:rsidRPr="00C47419" w:rsidRDefault="00C47419" w:rsidP="00822EC5">
            <w:pPr>
              <w:jc w:val="center"/>
              <w:rPr>
                <w:sz w:val="24"/>
                <w:szCs w:val="24"/>
              </w:rPr>
            </w:pPr>
            <w:r w:rsidRPr="00C47419">
              <w:rPr>
                <w:sz w:val="24"/>
                <w:szCs w:val="24"/>
              </w:rPr>
              <w:t>0.10</w:t>
            </w:r>
          </w:p>
        </w:tc>
        <w:tc>
          <w:tcPr>
            <w:tcW w:w="1371" w:type="dxa"/>
          </w:tcPr>
          <w:p w14:paraId="0862B5D6" w14:textId="77777777" w:rsidR="00C47419" w:rsidRPr="00C47419" w:rsidRDefault="00C47419" w:rsidP="00822EC5">
            <w:pPr>
              <w:jc w:val="center"/>
              <w:rPr>
                <w:sz w:val="24"/>
                <w:szCs w:val="24"/>
              </w:rPr>
            </w:pPr>
            <w:r w:rsidRPr="00C47419">
              <w:rPr>
                <w:sz w:val="24"/>
                <w:szCs w:val="24"/>
              </w:rPr>
              <w:t>0.63</w:t>
            </w:r>
          </w:p>
        </w:tc>
      </w:tr>
      <w:tr w:rsidR="00C47419" w:rsidRPr="00C47419" w14:paraId="1B1BCA3B" w14:textId="77777777" w:rsidTr="00822EC5">
        <w:trPr>
          <w:trHeight w:val="299"/>
        </w:trPr>
        <w:tc>
          <w:tcPr>
            <w:tcW w:w="2802" w:type="dxa"/>
          </w:tcPr>
          <w:p w14:paraId="1DDD995B" w14:textId="77777777" w:rsidR="00C47419" w:rsidRPr="00C47419" w:rsidRDefault="00C47419" w:rsidP="00822EC5">
            <w:pPr>
              <w:rPr>
                <w:sz w:val="24"/>
                <w:szCs w:val="24"/>
              </w:rPr>
            </w:pPr>
            <w:r w:rsidRPr="00C47419">
              <w:rPr>
                <w:sz w:val="24"/>
                <w:szCs w:val="24"/>
              </w:rPr>
              <w:t>Outcome</w:t>
            </w:r>
          </w:p>
        </w:tc>
        <w:tc>
          <w:tcPr>
            <w:tcW w:w="1701" w:type="dxa"/>
          </w:tcPr>
          <w:p w14:paraId="595106E2" w14:textId="77777777" w:rsidR="00C47419" w:rsidRPr="00C47419" w:rsidRDefault="00C47419" w:rsidP="00822EC5">
            <w:pPr>
              <w:jc w:val="center"/>
              <w:rPr>
                <w:sz w:val="24"/>
                <w:szCs w:val="24"/>
              </w:rPr>
            </w:pPr>
            <w:r w:rsidRPr="00C47419">
              <w:rPr>
                <w:sz w:val="24"/>
                <w:szCs w:val="24"/>
              </w:rPr>
              <w:t>5.98</w:t>
            </w:r>
          </w:p>
        </w:tc>
        <w:tc>
          <w:tcPr>
            <w:tcW w:w="2308" w:type="dxa"/>
          </w:tcPr>
          <w:p w14:paraId="1481E93E" w14:textId="77777777" w:rsidR="00C47419" w:rsidRPr="00C47419" w:rsidRDefault="00C47419" w:rsidP="00822EC5">
            <w:pPr>
              <w:jc w:val="center"/>
              <w:rPr>
                <w:sz w:val="24"/>
                <w:szCs w:val="24"/>
              </w:rPr>
            </w:pPr>
            <w:r w:rsidRPr="00C47419">
              <w:rPr>
                <w:sz w:val="24"/>
                <w:szCs w:val="24"/>
              </w:rPr>
              <w:t>-2.28, 14.25</w:t>
            </w:r>
          </w:p>
        </w:tc>
        <w:tc>
          <w:tcPr>
            <w:tcW w:w="980" w:type="dxa"/>
          </w:tcPr>
          <w:p w14:paraId="56DD9A88" w14:textId="77777777" w:rsidR="00C47419" w:rsidRPr="00C47419" w:rsidRDefault="00C47419" w:rsidP="00822EC5">
            <w:pPr>
              <w:jc w:val="center"/>
              <w:rPr>
                <w:sz w:val="24"/>
                <w:szCs w:val="24"/>
              </w:rPr>
            </w:pPr>
            <w:r w:rsidRPr="00C47419">
              <w:rPr>
                <w:sz w:val="24"/>
                <w:szCs w:val="24"/>
              </w:rPr>
              <w:t>0.16</w:t>
            </w:r>
          </w:p>
        </w:tc>
        <w:tc>
          <w:tcPr>
            <w:tcW w:w="1371" w:type="dxa"/>
          </w:tcPr>
          <w:p w14:paraId="0E7E374A" w14:textId="77777777" w:rsidR="00C47419" w:rsidRPr="00C47419" w:rsidRDefault="00C47419" w:rsidP="00822EC5">
            <w:pPr>
              <w:jc w:val="center"/>
              <w:rPr>
                <w:sz w:val="24"/>
                <w:szCs w:val="24"/>
              </w:rPr>
            </w:pPr>
            <w:r w:rsidRPr="00C47419">
              <w:rPr>
                <w:sz w:val="24"/>
                <w:szCs w:val="24"/>
              </w:rPr>
              <w:t>2.77</w:t>
            </w:r>
          </w:p>
        </w:tc>
      </w:tr>
    </w:tbl>
    <w:p w14:paraId="646BD5D2" w14:textId="77777777" w:rsidR="00C47419" w:rsidRDefault="00C47419">
      <w:pPr>
        <w:rPr>
          <w:rFonts w:ascii="Arial" w:eastAsiaTheme="majorEastAsia" w:hAnsi="Arial" w:cs="Arial"/>
          <w:b/>
          <w:sz w:val="24"/>
          <w:szCs w:val="24"/>
        </w:rPr>
      </w:pPr>
      <w:r>
        <w:br w:type="page"/>
      </w:r>
    </w:p>
    <w:p w14:paraId="316C9D53" w14:textId="233286D8" w:rsidR="00862CA0" w:rsidRDefault="00862CA0" w:rsidP="00862CA0">
      <w:pPr>
        <w:pStyle w:val="Heading2"/>
      </w:pPr>
      <w:r w:rsidRPr="00125D33">
        <w:lastRenderedPageBreak/>
        <w:t xml:space="preserve">Supplemental Table </w:t>
      </w:r>
      <w:r>
        <w:t>S</w:t>
      </w:r>
      <w:r w:rsidR="001D0741">
        <w:t>3</w:t>
      </w:r>
    </w:p>
    <w:p w14:paraId="2EDC3459" w14:textId="77777777" w:rsidR="00862CA0" w:rsidRPr="008E4FCC" w:rsidRDefault="00862CA0" w:rsidP="00862CA0"/>
    <w:p w14:paraId="50D100D7" w14:textId="77777777" w:rsidR="00862CA0" w:rsidRPr="00D86314" w:rsidRDefault="00862CA0" w:rsidP="00862CA0">
      <w:pPr>
        <w:spacing w:line="480" w:lineRule="auto"/>
        <w:rPr>
          <w:rFonts w:ascii="Arial" w:hAnsi="Arial" w:cs="Arial"/>
          <w:sz w:val="24"/>
          <w:szCs w:val="24"/>
        </w:rPr>
      </w:pPr>
      <w:r w:rsidRPr="00125D33">
        <w:rPr>
          <w:rFonts w:ascii="Arial" w:hAnsi="Arial" w:cs="Arial"/>
          <w:sz w:val="24"/>
          <w:szCs w:val="24"/>
        </w:rPr>
        <w:t>Cochrane risk of bias: studies included in the vitamin K intervention analysis were assessed according to the Cochrane risk of bias</w:t>
      </w:r>
      <w:r>
        <w:rPr>
          <w:rFonts w:ascii="Arial" w:hAnsi="Arial" w:cs="Arial"/>
          <w:sz w:val="24"/>
          <w:szCs w:val="24"/>
        </w:rPr>
        <w:t xml:space="preserve"> </w:t>
      </w:r>
      <w:proofErr w:type="gramStart"/>
      <w:r w:rsidRPr="00125D33">
        <w:rPr>
          <w:rFonts w:ascii="Arial" w:hAnsi="Arial" w:cs="Arial"/>
          <w:sz w:val="24"/>
          <w:szCs w:val="24"/>
        </w:rPr>
        <w:t>tool(</w:t>
      </w:r>
      <w:proofErr w:type="gramEnd"/>
      <w:r w:rsidRPr="00125D33">
        <w:rPr>
          <w:rFonts w:ascii="Arial" w:hAnsi="Arial" w:cs="Arial"/>
          <w:sz w:val="24"/>
          <w:szCs w:val="24"/>
        </w:rPr>
        <w:t>26).  Each study was allocated a score of Low, High or Unclear for each of the factors listed in the Supplemental Table below.</w:t>
      </w:r>
    </w:p>
    <w:tbl>
      <w:tblPr>
        <w:tblStyle w:val="TableGrid"/>
        <w:tblW w:w="13958" w:type="dxa"/>
        <w:tblLook w:val="06A0" w:firstRow="1" w:lastRow="0" w:firstColumn="1" w:lastColumn="0" w:noHBand="1" w:noVBand="1"/>
      </w:tblPr>
      <w:tblGrid>
        <w:gridCol w:w="2102"/>
        <w:gridCol w:w="1051"/>
        <w:gridCol w:w="1586"/>
        <w:gridCol w:w="1684"/>
        <w:gridCol w:w="1757"/>
        <w:gridCol w:w="1675"/>
        <w:gridCol w:w="1694"/>
        <w:gridCol w:w="1427"/>
        <w:gridCol w:w="982"/>
      </w:tblGrid>
      <w:tr w:rsidR="00862CA0" w:rsidRPr="00125D33" w14:paraId="2B0F0E61" w14:textId="77777777" w:rsidTr="00614114">
        <w:trPr>
          <w:trHeight w:val="385"/>
        </w:trPr>
        <w:tc>
          <w:tcPr>
            <w:tcW w:w="2102" w:type="dxa"/>
          </w:tcPr>
          <w:p w14:paraId="7D1A0F05" w14:textId="77777777" w:rsidR="00862CA0" w:rsidRPr="002B33EF" w:rsidRDefault="00862CA0" w:rsidP="00614114">
            <w:pPr>
              <w:jc w:val="center"/>
              <w:rPr>
                <w:rFonts w:ascii="Arial" w:hAnsi="Arial" w:cs="Arial"/>
                <w:b/>
                <w:color w:val="000000"/>
                <w:sz w:val="24"/>
                <w:szCs w:val="24"/>
              </w:rPr>
            </w:pPr>
            <w:r w:rsidRPr="002B33EF">
              <w:rPr>
                <w:rFonts w:ascii="Arial" w:hAnsi="Arial" w:cs="Arial"/>
                <w:b/>
                <w:color w:val="000000"/>
                <w:sz w:val="24"/>
                <w:szCs w:val="24"/>
              </w:rPr>
              <w:t>Author</w:t>
            </w:r>
          </w:p>
        </w:tc>
        <w:tc>
          <w:tcPr>
            <w:tcW w:w="1051" w:type="dxa"/>
          </w:tcPr>
          <w:p w14:paraId="6BBF27A1" w14:textId="77777777" w:rsidR="00862CA0" w:rsidRPr="002B33EF" w:rsidRDefault="00862CA0" w:rsidP="00614114">
            <w:pPr>
              <w:jc w:val="center"/>
              <w:rPr>
                <w:rFonts w:ascii="Arial" w:hAnsi="Arial" w:cs="Arial"/>
                <w:b/>
                <w:color w:val="000000"/>
                <w:sz w:val="24"/>
                <w:szCs w:val="24"/>
              </w:rPr>
            </w:pPr>
            <w:r w:rsidRPr="002B33EF">
              <w:rPr>
                <w:rFonts w:ascii="Arial" w:hAnsi="Arial" w:cs="Arial"/>
                <w:b/>
                <w:color w:val="000000"/>
                <w:sz w:val="24"/>
                <w:szCs w:val="24"/>
              </w:rPr>
              <w:t>Year</w:t>
            </w:r>
          </w:p>
        </w:tc>
        <w:tc>
          <w:tcPr>
            <w:tcW w:w="1586" w:type="dxa"/>
          </w:tcPr>
          <w:p w14:paraId="1F602C39" w14:textId="77777777" w:rsidR="00862CA0" w:rsidRPr="002B33EF" w:rsidRDefault="00862CA0" w:rsidP="00614114">
            <w:pPr>
              <w:jc w:val="center"/>
              <w:rPr>
                <w:rFonts w:ascii="Arial" w:hAnsi="Arial" w:cs="Arial"/>
                <w:b/>
                <w:color w:val="000000"/>
                <w:sz w:val="24"/>
                <w:szCs w:val="24"/>
              </w:rPr>
            </w:pPr>
            <w:r w:rsidRPr="002B33EF">
              <w:rPr>
                <w:rFonts w:ascii="Arial" w:hAnsi="Arial" w:cs="Arial"/>
                <w:b/>
                <w:color w:val="000000"/>
                <w:sz w:val="24"/>
                <w:szCs w:val="24"/>
              </w:rPr>
              <w:t>Random sequence generation</w:t>
            </w:r>
          </w:p>
        </w:tc>
        <w:tc>
          <w:tcPr>
            <w:tcW w:w="1684" w:type="dxa"/>
          </w:tcPr>
          <w:p w14:paraId="478D4D5D" w14:textId="77777777" w:rsidR="00862CA0" w:rsidRPr="002B33EF" w:rsidRDefault="00862CA0" w:rsidP="00614114">
            <w:pPr>
              <w:jc w:val="center"/>
              <w:rPr>
                <w:rFonts w:ascii="Arial" w:hAnsi="Arial" w:cs="Arial"/>
                <w:b/>
                <w:color w:val="000000"/>
                <w:sz w:val="24"/>
                <w:szCs w:val="24"/>
              </w:rPr>
            </w:pPr>
            <w:r w:rsidRPr="002B33EF">
              <w:rPr>
                <w:rFonts w:ascii="Arial" w:hAnsi="Arial" w:cs="Arial"/>
                <w:b/>
                <w:color w:val="000000"/>
                <w:sz w:val="24"/>
                <w:szCs w:val="24"/>
              </w:rPr>
              <w:t>Allocation concealment</w:t>
            </w:r>
          </w:p>
        </w:tc>
        <w:tc>
          <w:tcPr>
            <w:tcW w:w="1757" w:type="dxa"/>
          </w:tcPr>
          <w:p w14:paraId="12DDCDA4" w14:textId="77777777" w:rsidR="00862CA0" w:rsidRPr="002B33EF" w:rsidRDefault="00862CA0" w:rsidP="00614114">
            <w:pPr>
              <w:jc w:val="center"/>
              <w:rPr>
                <w:rFonts w:ascii="Arial" w:hAnsi="Arial" w:cs="Arial"/>
                <w:b/>
                <w:color w:val="000000"/>
                <w:sz w:val="24"/>
                <w:szCs w:val="24"/>
              </w:rPr>
            </w:pPr>
            <w:r w:rsidRPr="002B33EF">
              <w:rPr>
                <w:rFonts w:ascii="Arial" w:hAnsi="Arial" w:cs="Arial"/>
                <w:b/>
                <w:color w:val="000000"/>
                <w:sz w:val="24"/>
                <w:szCs w:val="24"/>
              </w:rPr>
              <w:t>Blinding of participants and personnel</w:t>
            </w:r>
          </w:p>
        </w:tc>
        <w:tc>
          <w:tcPr>
            <w:tcW w:w="1675" w:type="dxa"/>
          </w:tcPr>
          <w:p w14:paraId="6226D2C9" w14:textId="77777777" w:rsidR="00862CA0" w:rsidRPr="002B33EF" w:rsidRDefault="00862CA0" w:rsidP="00614114">
            <w:pPr>
              <w:jc w:val="center"/>
              <w:rPr>
                <w:rFonts w:ascii="Arial" w:hAnsi="Arial" w:cs="Arial"/>
                <w:b/>
                <w:color w:val="000000"/>
                <w:sz w:val="24"/>
                <w:szCs w:val="24"/>
              </w:rPr>
            </w:pPr>
            <w:r w:rsidRPr="002B33EF">
              <w:rPr>
                <w:rFonts w:ascii="Arial" w:hAnsi="Arial" w:cs="Arial"/>
                <w:b/>
                <w:color w:val="000000"/>
                <w:sz w:val="24"/>
                <w:szCs w:val="24"/>
              </w:rPr>
              <w:t>Blinding of outcome assessment</w:t>
            </w:r>
          </w:p>
        </w:tc>
        <w:tc>
          <w:tcPr>
            <w:tcW w:w="1694" w:type="dxa"/>
          </w:tcPr>
          <w:p w14:paraId="06714A6E" w14:textId="77777777" w:rsidR="00862CA0" w:rsidRPr="002B33EF" w:rsidRDefault="00862CA0" w:rsidP="00614114">
            <w:pPr>
              <w:jc w:val="center"/>
              <w:rPr>
                <w:rFonts w:ascii="Arial" w:hAnsi="Arial" w:cs="Arial"/>
                <w:b/>
                <w:color w:val="000000"/>
                <w:sz w:val="24"/>
                <w:szCs w:val="24"/>
              </w:rPr>
            </w:pPr>
            <w:r w:rsidRPr="002B33EF">
              <w:rPr>
                <w:rFonts w:ascii="Arial" w:hAnsi="Arial" w:cs="Arial"/>
                <w:b/>
                <w:color w:val="000000"/>
                <w:sz w:val="24"/>
                <w:szCs w:val="24"/>
              </w:rPr>
              <w:t>Incomplete outcome reporting</w:t>
            </w:r>
          </w:p>
        </w:tc>
        <w:tc>
          <w:tcPr>
            <w:tcW w:w="1427" w:type="dxa"/>
          </w:tcPr>
          <w:p w14:paraId="43411688" w14:textId="77777777" w:rsidR="00862CA0" w:rsidRPr="002B33EF" w:rsidRDefault="00862CA0" w:rsidP="00614114">
            <w:pPr>
              <w:jc w:val="center"/>
              <w:rPr>
                <w:rFonts w:ascii="Arial" w:hAnsi="Arial" w:cs="Arial"/>
                <w:b/>
                <w:color w:val="000000"/>
                <w:sz w:val="24"/>
                <w:szCs w:val="24"/>
              </w:rPr>
            </w:pPr>
            <w:r w:rsidRPr="002B33EF">
              <w:rPr>
                <w:rFonts w:ascii="Arial" w:hAnsi="Arial" w:cs="Arial"/>
                <w:b/>
                <w:color w:val="000000"/>
                <w:sz w:val="24"/>
                <w:szCs w:val="24"/>
              </w:rPr>
              <w:t>Selective reporting</w:t>
            </w:r>
          </w:p>
        </w:tc>
        <w:tc>
          <w:tcPr>
            <w:tcW w:w="982" w:type="dxa"/>
          </w:tcPr>
          <w:p w14:paraId="330A3E91" w14:textId="77777777" w:rsidR="00862CA0" w:rsidRPr="002B33EF" w:rsidRDefault="00862CA0" w:rsidP="00614114">
            <w:pPr>
              <w:jc w:val="center"/>
              <w:rPr>
                <w:rFonts w:ascii="Arial" w:hAnsi="Arial" w:cs="Arial"/>
                <w:b/>
                <w:color w:val="000000"/>
                <w:sz w:val="24"/>
                <w:szCs w:val="24"/>
              </w:rPr>
            </w:pPr>
            <w:r w:rsidRPr="002B33EF">
              <w:rPr>
                <w:rFonts w:ascii="Arial" w:hAnsi="Arial" w:cs="Arial"/>
                <w:b/>
                <w:color w:val="000000"/>
                <w:sz w:val="24"/>
                <w:szCs w:val="24"/>
              </w:rPr>
              <w:t>Other bias</w:t>
            </w:r>
          </w:p>
        </w:tc>
      </w:tr>
      <w:tr w:rsidR="00862CA0" w:rsidRPr="00125D33" w14:paraId="0A56F721" w14:textId="77777777" w:rsidTr="00614114">
        <w:trPr>
          <w:trHeight w:val="125"/>
        </w:trPr>
        <w:tc>
          <w:tcPr>
            <w:tcW w:w="2102" w:type="dxa"/>
          </w:tcPr>
          <w:p w14:paraId="7BA76093"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Binkley</w:t>
            </w:r>
          </w:p>
        </w:tc>
        <w:tc>
          <w:tcPr>
            <w:tcW w:w="1051" w:type="dxa"/>
          </w:tcPr>
          <w:p w14:paraId="5F30D03A"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2009</w:t>
            </w:r>
          </w:p>
        </w:tc>
        <w:tc>
          <w:tcPr>
            <w:tcW w:w="1586" w:type="dxa"/>
          </w:tcPr>
          <w:p w14:paraId="6EB11F67"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1684" w:type="dxa"/>
          </w:tcPr>
          <w:p w14:paraId="1C0EA68F"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757" w:type="dxa"/>
          </w:tcPr>
          <w:p w14:paraId="79188467"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75" w:type="dxa"/>
          </w:tcPr>
          <w:p w14:paraId="3C9C560F"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94" w:type="dxa"/>
          </w:tcPr>
          <w:p w14:paraId="549E53FE"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1427" w:type="dxa"/>
          </w:tcPr>
          <w:p w14:paraId="5909093E"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982" w:type="dxa"/>
          </w:tcPr>
          <w:p w14:paraId="4AB484C9"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r>
      <w:tr w:rsidR="00862CA0" w:rsidRPr="00125D33" w14:paraId="7E39E6E9" w14:textId="77777777" w:rsidTr="00614114">
        <w:trPr>
          <w:trHeight w:val="125"/>
        </w:trPr>
        <w:tc>
          <w:tcPr>
            <w:tcW w:w="2102" w:type="dxa"/>
          </w:tcPr>
          <w:p w14:paraId="455353E0"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Booth</w:t>
            </w:r>
          </w:p>
        </w:tc>
        <w:tc>
          <w:tcPr>
            <w:tcW w:w="1051" w:type="dxa"/>
          </w:tcPr>
          <w:p w14:paraId="28C59CA1"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2008</w:t>
            </w:r>
          </w:p>
        </w:tc>
        <w:tc>
          <w:tcPr>
            <w:tcW w:w="1586" w:type="dxa"/>
          </w:tcPr>
          <w:p w14:paraId="4016A7AD"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1684" w:type="dxa"/>
          </w:tcPr>
          <w:p w14:paraId="402B73DC"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757" w:type="dxa"/>
          </w:tcPr>
          <w:p w14:paraId="5E089ADB"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75" w:type="dxa"/>
          </w:tcPr>
          <w:p w14:paraId="0B29BEE5"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94" w:type="dxa"/>
          </w:tcPr>
          <w:p w14:paraId="5B8D09EB"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427" w:type="dxa"/>
          </w:tcPr>
          <w:p w14:paraId="4CC25516"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982" w:type="dxa"/>
          </w:tcPr>
          <w:p w14:paraId="5647093A"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r>
      <w:tr w:rsidR="00862CA0" w:rsidRPr="00125D33" w14:paraId="2248AF4B" w14:textId="77777777" w:rsidTr="00614114">
        <w:trPr>
          <w:trHeight w:val="129"/>
        </w:trPr>
        <w:tc>
          <w:tcPr>
            <w:tcW w:w="2102" w:type="dxa"/>
          </w:tcPr>
          <w:p w14:paraId="0E5C679E" w14:textId="77777777" w:rsidR="00862CA0" w:rsidRPr="002B33EF" w:rsidRDefault="00862CA0" w:rsidP="00614114">
            <w:pPr>
              <w:jc w:val="center"/>
              <w:rPr>
                <w:rFonts w:ascii="Arial" w:hAnsi="Arial" w:cs="Arial"/>
                <w:color w:val="000000"/>
                <w:sz w:val="24"/>
                <w:szCs w:val="24"/>
              </w:rPr>
            </w:pPr>
            <w:proofErr w:type="spellStart"/>
            <w:r w:rsidRPr="002B33EF">
              <w:rPr>
                <w:rFonts w:ascii="Arial" w:hAnsi="Arial" w:cs="Arial"/>
                <w:color w:val="000000"/>
                <w:sz w:val="24"/>
                <w:szCs w:val="24"/>
              </w:rPr>
              <w:t>Braam</w:t>
            </w:r>
            <w:proofErr w:type="spellEnd"/>
          </w:p>
        </w:tc>
        <w:tc>
          <w:tcPr>
            <w:tcW w:w="1051" w:type="dxa"/>
          </w:tcPr>
          <w:p w14:paraId="09FFCC54"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2004</w:t>
            </w:r>
          </w:p>
        </w:tc>
        <w:tc>
          <w:tcPr>
            <w:tcW w:w="1586" w:type="dxa"/>
          </w:tcPr>
          <w:p w14:paraId="354E6146"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84" w:type="dxa"/>
          </w:tcPr>
          <w:p w14:paraId="1AF67B18"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757" w:type="dxa"/>
          </w:tcPr>
          <w:p w14:paraId="7CDD1830"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75" w:type="dxa"/>
          </w:tcPr>
          <w:p w14:paraId="48F5ECC9"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94" w:type="dxa"/>
          </w:tcPr>
          <w:p w14:paraId="1D89C4E5"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427" w:type="dxa"/>
          </w:tcPr>
          <w:p w14:paraId="495351EB"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982" w:type="dxa"/>
          </w:tcPr>
          <w:p w14:paraId="1C7A7E36"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r>
      <w:tr w:rsidR="00862CA0" w:rsidRPr="00125D33" w14:paraId="5235B33B" w14:textId="77777777" w:rsidTr="00614114">
        <w:trPr>
          <w:trHeight w:val="125"/>
        </w:trPr>
        <w:tc>
          <w:tcPr>
            <w:tcW w:w="2102" w:type="dxa"/>
          </w:tcPr>
          <w:p w14:paraId="59798345"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Brandenburg</w:t>
            </w:r>
          </w:p>
        </w:tc>
        <w:tc>
          <w:tcPr>
            <w:tcW w:w="1051" w:type="dxa"/>
          </w:tcPr>
          <w:p w14:paraId="25ADE2A8"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2017</w:t>
            </w:r>
          </w:p>
        </w:tc>
        <w:tc>
          <w:tcPr>
            <w:tcW w:w="1586" w:type="dxa"/>
          </w:tcPr>
          <w:p w14:paraId="1ADD12C9"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1684" w:type="dxa"/>
          </w:tcPr>
          <w:p w14:paraId="2E267500"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High</w:t>
            </w:r>
          </w:p>
        </w:tc>
        <w:tc>
          <w:tcPr>
            <w:tcW w:w="1757" w:type="dxa"/>
          </w:tcPr>
          <w:p w14:paraId="14633B86"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1675" w:type="dxa"/>
          </w:tcPr>
          <w:p w14:paraId="3DEF31D6"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94" w:type="dxa"/>
          </w:tcPr>
          <w:p w14:paraId="1C57B463"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427" w:type="dxa"/>
          </w:tcPr>
          <w:p w14:paraId="6BB0050A"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982" w:type="dxa"/>
          </w:tcPr>
          <w:p w14:paraId="5ABE50FC"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r>
      <w:tr w:rsidR="00862CA0" w:rsidRPr="00125D33" w14:paraId="020CC0DB" w14:textId="77777777" w:rsidTr="00614114">
        <w:trPr>
          <w:trHeight w:val="129"/>
        </w:trPr>
        <w:tc>
          <w:tcPr>
            <w:tcW w:w="2102" w:type="dxa"/>
          </w:tcPr>
          <w:p w14:paraId="7129B68C" w14:textId="77777777" w:rsidR="00862CA0" w:rsidRPr="002B33EF" w:rsidRDefault="00862CA0" w:rsidP="00614114">
            <w:pPr>
              <w:jc w:val="center"/>
              <w:rPr>
                <w:rFonts w:ascii="Arial" w:hAnsi="Arial" w:cs="Arial"/>
                <w:color w:val="000000"/>
                <w:sz w:val="24"/>
                <w:szCs w:val="24"/>
              </w:rPr>
            </w:pPr>
            <w:proofErr w:type="spellStart"/>
            <w:r w:rsidRPr="002B33EF">
              <w:rPr>
                <w:rFonts w:ascii="Arial" w:hAnsi="Arial" w:cs="Arial"/>
                <w:color w:val="000000"/>
                <w:sz w:val="24"/>
                <w:szCs w:val="24"/>
              </w:rPr>
              <w:t>Dalmeijer</w:t>
            </w:r>
            <w:proofErr w:type="spellEnd"/>
          </w:p>
        </w:tc>
        <w:tc>
          <w:tcPr>
            <w:tcW w:w="1051" w:type="dxa"/>
          </w:tcPr>
          <w:p w14:paraId="684D0A13"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2012</w:t>
            </w:r>
          </w:p>
        </w:tc>
        <w:tc>
          <w:tcPr>
            <w:tcW w:w="1586" w:type="dxa"/>
          </w:tcPr>
          <w:p w14:paraId="6E88666C"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84" w:type="dxa"/>
          </w:tcPr>
          <w:p w14:paraId="01CE302E"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1757" w:type="dxa"/>
          </w:tcPr>
          <w:p w14:paraId="5E1AFA66"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75" w:type="dxa"/>
          </w:tcPr>
          <w:p w14:paraId="4C0502E8"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94" w:type="dxa"/>
          </w:tcPr>
          <w:p w14:paraId="774D65AE"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427" w:type="dxa"/>
          </w:tcPr>
          <w:p w14:paraId="6F42B786"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982" w:type="dxa"/>
          </w:tcPr>
          <w:p w14:paraId="6D877E7F"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r>
      <w:tr w:rsidR="00862CA0" w:rsidRPr="00125D33" w14:paraId="013C0BCE" w14:textId="77777777" w:rsidTr="00614114">
        <w:trPr>
          <w:trHeight w:val="125"/>
        </w:trPr>
        <w:tc>
          <w:tcPr>
            <w:tcW w:w="2102" w:type="dxa"/>
          </w:tcPr>
          <w:p w14:paraId="3E4F48A2"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Fulton</w:t>
            </w:r>
          </w:p>
        </w:tc>
        <w:tc>
          <w:tcPr>
            <w:tcW w:w="1051" w:type="dxa"/>
          </w:tcPr>
          <w:p w14:paraId="02A235BD"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2016</w:t>
            </w:r>
          </w:p>
        </w:tc>
        <w:tc>
          <w:tcPr>
            <w:tcW w:w="1586" w:type="dxa"/>
          </w:tcPr>
          <w:p w14:paraId="23F457B2"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84" w:type="dxa"/>
          </w:tcPr>
          <w:p w14:paraId="6FD51ECE"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757" w:type="dxa"/>
          </w:tcPr>
          <w:p w14:paraId="5E0BBF31"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75" w:type="dxa"/>
          </w:tcPr>
          <w:p w14:paraId="03B2AC79"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94" w:type="dxa"/>
          </w:tcPr>
          <w:p w14:paraId="788F401F"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427" w:type="dxa"/>
          </w:tcPr>
          <w:p w14:paraId="2A9BDEDF"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982" w:type="dxa"/>
          </w:tcPr>
          <w:p w14:paraId="38C1E35C"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r>
      <w:tr w:rsidR="00862CA0" w:rsidRPr="00125D33" w14:paraId="7CCC5571" w14:textId="77777777" w:rsidTr="00614114">
        <w:trPr>
          <w:trHeight w:val="125"/>
        </w:trPr>
        <w:tc>
          <w:tcPr>
            <w:tcW w:w="2102" w:type="dxa"/>
          </w:tcPr>
          <w:p w14:paraId="779D86F8" w14:textId="77777777" w:rsidR="00862CA0" w:rsidRPr="002B33EF" w:rsidRDefault="00862CA0" w:rsidP="00614114">
            <w:pPr>
              <w:jc w:val="center"/>
              <w:rPr>
                <w:rFonts w:ascii="Arial" w:hAnsi="Arial" w:cs="Arial"/>
                <w:color w:val="000000"/>
                <w:sz w:val="24"/>
                <w:szCs w:val="24"/>
              </w:rPr>
            </w:pPr>
            <w:proofErr w:type="spellStart"/>
            <w:r w:rsidRPr="002B33EF">
              <w:rPr>
                <w:rFonts w:ascii="Arial" w:hAnsi="Arial" w:cs="Arial"/>
                <w:color w:val="000000"/>
                <w:sz w:val="24"/>
                <w:szCs w:val="24"/>
              </w:rPr>
              <w:t>Knapen</w:t>
            </w:r>
            <w:proofErr w:type="spellEnd"/>
          </w:p>
        </w:tc>
        <w:tc>
          <w:tcPr>
            <w:tcW w:w="1051" w:type="dxa"/>
          </w:tcPr>
          <w:p w14:paraId="714FCD94"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2015</w:t>
            </w:r>
          </w:p>
        </w:tc>
        <w:tc>
          <w:tcPr>
            <w:tcW w:w="1586" w:type="dxa"/>
          </w:tcPr>
          <w:p w14:paraId="1D8EAB51"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1684" w:type="dxa"/>
          </w:tcPr>
          <w:p w14:paraId="054F0258"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757" w:type="dxa"/>
          </w:tcPr>
          <w:p w14:paraId="43199B1F"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75" w:type="dxa"/>
          </w:tcPr>
          <w:p w14:paraId="4860D418"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94" w:type="dxa"/>
          </w:tcPr>
          <w:p w14:paraId="45B582C5"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427" w:type="dxa"/>
          </w:tcPr>
          <w:p w14:paraId="5F66A88A"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982" w:type="dxa"/>
          </w:tcPr>
          <w:p w14:paraId="005CA255"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r>
      <w:tr w:rsidR="00862CA0" w:rsidRPr="00125D33" w14:paraId="1965F941" w14:textId="77777777" w:rsidTr="00614114">
        <w:trPr>
          <w:trHeight w:val="125"/>
        </w:trPr>
        <w:tc>
          <w:tcPr>
            <w:tcW w:w="2102" w:type="dxa"/>
          </w:tcPr>
          <w:p w14:paraId="45F6C397" w14:textId="77777777" w:rsidR="00862CA0" w:rsidRPr="002B33EF" w:rsidRDefault="00862CA0" w:rsidP="00614114">
            <w:pPr>
              <w:jc w:val="center"/>
              <w:rPr>
                <w:rFonts w:ascii="Arial" w:hAnsi="Arial" w:cs="Arial"/>
                <w:color w:val="000000"/>
                <w:sz w:val="24"/>
                <w:szCs w:val="24"/>
              </w:rPr>
            </w:pPr>
            <w:proofErr w:type="spellStart"/>
            <w:r w:rsidRPr="002B33EF">
              <w:rPr>
                <w:rFonts w:ascii="Arial" w:hAnsi="Arial" w:cs="Arial"/>
                <w:color w:val="000000"/>
                <w:sz w:val="24"/>
                <w:szCs w:val="24"/>
              </w:rPr>
              <w:t>Kurnatowska</w:t>
            </w:r>
            <w:proofErr w:type="spellEnd"/>
          </w:p>
        </w:tc>
        <w:tc>
          <w:tcPr>
            <w:tcW w:w="1051" w:type="dxa"/>
          </w:tcPr>
          <w:p w14:paraId="26BA6387"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2015</w:t>
            </w:r>
          </w:p>
        </w:tc>
        <w:tc>
          <w:tcPr>
            <w:tcW w:w="1586" w:type="dxa"/>
          </w:tcPr>
          <w:p w14:paraId="57890C8E"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84" w:type="dxa"/>
          </w:tcPr>
          <w:p w14:paraId="3FB38D9C"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757" w:type="dxa"/>
          </w:tcPr>
          <w:p w14:paraId="664C7455"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75" w:type="dxa"/>
          </w:tcPr>
          <w:p w14:paraId="1E17D8D7"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94" w:type="dxa"/>
          </w:tcPr>
          <w:p w14:paraId="13E68288"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427" w:type="dxa"/>
          </w:tcPr>
          <w:p w14:paraId="0D2A4765"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982" w:type="dxa"/>
          </w:tcPr>
          <w:p w14:paraId="2A0192B5"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r>
      <w:tr w:rsidR="00862CA0" w:rsidRPr="00125D33" w14:paraId="1085BE42" w14:textId="77777777" w:rsidTr="00614114">
        <w:trPr>
          <w:trHeight w:val="129"/>
        </w:trPr>
        <w:tc>
          <w:tcPr>
            <w:tcW w:w="2102" w:type="dxa"/>
          </w:tcPr>
          <w:p w14:paraId="781801BC" w14:textId="77777777" w:rsidR="00862CA0" w:rsidRPr="002B33EF" w:rsidRDefault="00862CA0" w:rsidP="00614114">
            <w:pPr>
              <w:jc w:val="center"/>
              <w:rPr>
                <w:rFonts w:ascii="Arial" w:hAnsi="Arial" w:cs="Arial"/>
                <w:color w:val="000000"/>
                <w:sz w:val="24"/>
                <w:szCs w:val="24"/>
              </w:rPr>
            </w:pPr>
            <w:proofErr w:type="spellStart"/>
            <w:r w:rsidRPr="002B33EF">
              <w:rPr>
                <w:rFonts w:ascii="Arial" w:hAnsi="Arial" w:cs="Arial"/>
                <w:color w:val="000000"/>
                <w:sz w:val="24"/>
                <w:szCs w:val="24"/>
              </w:rPr>
              <w:t>Kurnatowska</w:t>
            </w:r>
            <w:proofErr w:type="spellEnd"/>
          </w:p>
        </w:tc>
        <w:tc>
          <w:tcPr>
            <w:tcW w:w="1051" w:type="dxa"/>
          </w:tcPr>
          <w:p w14:paraId="4C07824E"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2016</w:t>
            </w:r>
          </w:p>
        </w:tc>
        <w:tc>
          <w:tcPr>
            <w:tcW w:w="1586" w:type="dxa"/>
          </w:tcPr>
          <w:p w14:paraId="571ED1A9"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84" w:type="dxa"/>
          </w:tcPr>
          <w:p w14:paraId="545E2CBD"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757" w:type="dxa"/>
          </w:tcPr>
          <w:p w14:paraId="3BE74187"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75" w:type="dxa"/>
          </w:tcPr>
          <w:p w14:paraId="31C99CFA"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694" w:type="dxa"/>
          </w:tcPr>
          <w:p w14:paraId="1E9800DC"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c>
          <w:tcPr>
            <w:tcW w:w="1427" w:type="dxa"/>
          </w:tcPr>
          <w:p w14:paraId="4865A9D3"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Unclear</w:t>
            </w:r>
          </w:p>
        </w:tc>
        <w:tc>
          <w:tcPr>
            <w:tcW w:w="982" w:type="dxa"/>
          </w:tcPr>
          <w:p w14:paraId="7F30DC70" w14:textId="77777777" w:rsidR="00862CA0" w:rsidRPr="002B33EF" w:rsidRDefault="00862CA0" w:rsidP="00614114">
            <w:pPr>
              <w:jc w:val="center"/>
              <w:rPr>
                <w:rFonts w:ascii="Arial" w:hAnsi="Arial" w:cs="Arial"/>
                <w:color w:val="000000"/>
                <w:sz w:val="24"/>
                <w:szCs w:val="24"/>
              </w:rPr>
            </w:pPr>
            <w:r w:rsidRPr="002B33EF">
              <w:rPr>
                <w:rFonts w:ascii="Arial" w:hAnsi="Arial" w:cs="Arial"/>
                <w:color w:val="000000"/>
                <w:sz w:val="24"/>
                <w:szCs w:val="24"/>
              </w:rPr>
              <w:t>Low</w:t>
            </w:r>
          </w:p>
        </w:tc>
      </w:tr>
    </w:tbl>
    <w:p w14:paraId="75E0B055" w14:textId="77777777" w:rsidR="00862CA0" w:rsidRPr="00125D33" w:rsidRDefault="00862CA0" w:rsidP="00862CA0">
      <w:pPr>
        <w:spacing w:line="240" w:lineRule="auto"/>
        <w:jc w:val="both"/>
        <w:rPr>
          <w:rFonts w:ascii="Arial" w:hAnsi="Arial" w:cs="Arial"/>
          <w:b/>
          <w:sz w:val="24"/>
          <w:szCs w:val="24"/>
        </w:rPr>
      </w:pPr>
    </w:p>
    <w:p w14:paraId="47D99C39" w14:textId="77777777" w:rsidR="00862CA0" w:rsidRPr="00125D33" w:rsidRDefault="00862CA0" w:rsidP="00862CA0">
      <w:pPr>
        <w:rPr>
          <w:rFonts w:ascii="Arial" w:eastAsiaTheme="majorEastAsia" w:hAnsi="Arial" w:cs="Arial"/>
          <w:b/>
          <w:sz w:val="24"/>
          <w:szCs w:val="24"/>
        </w:rPr>
      </w:pPr>
      <w:r w:rsidRPr="00125D33">
        <w:rPr>
          <w:rFonts w:ascii="Arial" w:hAnsi="Arial" w:cs="Arial"/>
          <w:sz w:val="24"/>
          <w:szCs w:val="24"/>
        </w:rPr>
        <w:br w:type="page"/>
      </w:r>
    </w:p>
    <w:p w14:paraId="7C101FB1" w14:textId="6FDD8F1D" w:rsidR="00FA4C84" w:rsidRDefault="00FA4C84" w:rsidP="00C27B02">
      <w:pPr>
        <w:pStyle w:val="Heading2"/>
      </w:pPr>
      <w:r w:rsidRPr="00125D33">
        <w:lastRenderedPageBreak/>
        <w:t xml:space="preserve">Supplemental Table </w:t>
      </w:r>
      <w:r w:rsidR="00F25D32">
        <w:t>S</w:t>
      </w:r>
      <w:r w:rsidR="001D0741">
        <w:t>4</w:t>
      </w:r>
    </w:p>
    <w:p w14:paraId="119CBA12" w14:textId="77777777" w:rsidR="00D86314" w:rsidRDefault="00DB66FB" w:rsidP="00D86314">
      <w:pPr>
        <w:rPr>
          <w:rFonts w:ascii="Arial" w:hAnsi="Arial" w:cs="Arial"/>
          <w:sz w:val="24"/>
          <w:szCs w:val="24"/>
        </w:rPr>
      </w:pPr>
      <w:r>
        <w:rPr>
          <w:rFonts w:ascii="Arial" w:hAnsi="Arial" w:cs="Arial"/>
          <w:sz w:val="24"/>
          <w:szCs w:val="24"/>
        </w:rPr>
        <w:t>Characteristics and reported risk of cardiovascular or mortality outcomes in l</w:t>
      </w:r>
      <w:r w:rsidR="00204AAC" w:rsidRPr="00204AAC">
        <w:rPr>
          <w:rFonts w:ascii="Arial" w:hAnsi="Arial" w:cs="Arial"/>
          <w:sz w:val="24"/>
          <w:szCs w:val="24"/>
        </w:rPr>
        <w:t xml:space="preserve">ongitudinal </w:t>
      </w:r>
      <w:r w:rsidR="00204AAC">
        <w:rPr>
          <w:rFonts w:ascii="Arial" w:hAnsi="Arial" w:cs="Arial"/>
          <w:sz w:val="24"/>
          <w:szCs w:val="24"/>
        </w:rPr>
        <w:t xml:space="preserve">studies assessing vitamin K dependent enzyme (VKDE) at baseline as continuous variable. </w:t>
      </w:r>
    </w:p>
    <w:p w14:paraId="449B0640" w14:textId="77777777" w:rsidR="00D86314" w:rsidRPr="00D86314" w:rsidRDefault="00D86314" w:rsidP="00D86314">
      <w:pPr>
        <w:rPr>
          <w:rFonts w:ascii="Arial" w:hAnsi="Arial" w:cs="Arial"/>
          <w:sz w:val="24"/>
          <w:szCs w:val="24"/>
        </w:rPr>
      </w:pPr>
    </w:p>
    <w:tbl>
      <w:tblPr>
        <w:tblStyle w:val="TableGrid"/>
        <w:tblW w:w="13948" w:type="dxa"/>
        <w:tblInd w:w="-5" w:type="dxa"/>
        <w:tblLook w:val="04A0" w:firstRow="1" w:lastRow="0" w:firstColumn="1" w:lastColumn="0" w:noHBand="0" w:noVBand="1"/>
      </w:tblPr>
      <w:tblGrid>
        <w:gridCol w:w="1311"/>
        <w:gridCol w:w="750"/>
        <w:gridCol w:w="1350"/>
        <w:gridCol w:w="3261"/>
        <w:gridCol w:w="3388"/>
        <w:gridCol w:w="2409"/>
        <w:gridCol w:w="1479"/>
      </w:tblGrid>
      <w:tr w:rsidR="00D86314" w14:paraId="1F1AB808" w14:textId="77777777" w:rsidTr="002B3FAC">
        <w:tc>
          <w:tcPr>
            <w:tcW w:w="1311" w:type="dxa"/>
            <w:tcBorders>
              <w:top w:val="single" w:sz="8" w:space="0" w:color="auto"/>
              <w:left w:val="single" w:sz="8" w:space="0" w:color="auto"/>
              <w:bottom w:val="single" w:sz="8" w:space="0" w:color="auto"/>
              <w:right w:val="single" w:sz="8" w:space="0" w:color="auto"/>
            </w:tcBorders>
            <w:shd w:val="clear" w:color="auto" w:fill="auto"/>
            <w:vAlign w:val="center"/>
          </w:tcPr>
          <w:p w14:paraId="0A4BAA8F" w14:textId="77777777" w:rsidR="00D86314" w:rsidRDefault="00D86314" w:rsidP="002B3FAC">
            <w:pPr>
              <w:jc w:val="center"/>
              <w:rPr>
                <w:rFonts w:ascii="Arial" w:hAnsi="Arial" w:cs="Arial"/>
                <w:b/>
                <w:bCs/>
                <w:color w:val="000000"/>
              </w:rPr>
            </w:pPr>
            <w:r>
              <w:rPr>
                <w:rFonts w:ascii="Arial" w:hAnsi="Arial" w:cs="Arial"/>
                <w:b/>
                <w:bCs/>
                <w:color w:val="000000"/>
              </w:rPr>
              <w:t>Author</w:t>
            </w:r>
          </w:p>
        </w:tc>
        <w:tc>
          <w:tcPr>
            <w:tcW w:w="750" w:type="dxa"/>
            <w:tcBorders>
              <w:top w:val="single" w:sz="8" w:space="0" w:color="auto"/>
              <w:left w:val="nil"/>
              <w:bottom w:val="single" w:sz="8" w:space="0" w:color="auto"/>
              <w:right w:val="single" w:sz="8" w:space="0" w:color="auto"/>
            </w:tcBorders>
            <w:shd w:val="clear" w:color="auto" w:fill="auto"/>
            <w:vAlign w:val="center"/>
          </w:tcPr>
          <w:p w14:paraId="13DAD33E" w14:textId="77777777" w:rsidR="00D86314" w:rsidRDefault="00D86314" w:rsidP="002B3FAC">
            <w:pPr>
              <w:jc w:val="center"/>
              <w:rPr>
                <w:rFonts w:ascii="Arial" w:hAnsi="Arial" w:cs="Arial"/>
                <w:b/>
                <w:bCs/>
                <w:color w:val="000000"/>
              </w:rPr>
            </w:pPr>
            <w:r>
              <w:rPr>
                <w:rFonts w:ascii="Arial" w:hAnsi="Arial" w:cs="Arial"/>
                <w:b/>
                <w:bCs/>
                <w:color w:val="000000"/>
              </w:rPr>
              <w:t>Year</w:t>
            </w:r>
          </w:p>
        </w:tc>
        <w:tc>
          <w:tcPr>
            <w:tcW w:w="1350" w:type="dxa"/>
            <w:tcBorders>
              <w:top w:val="single" w:sz="8" w:space="0" w:color="auto"/>
              <w:left w:val="nil"/>
              <w:bottom w:val="single" w:sz="8" w:space="0" w:color="auto"/>
              <w:right w:val="single" w:sz="8" w:space="0" w:color="auto"/>
            </w:tcBorders>
            <w:shd w:val="clear" w:color="auto" w:fill="auto"/>
            <w:vAlign w:val="center"/>
          </w:tcPr>
          <w:p w14:paraId="4CE6BA34" w14:textId="77777777" w:rsidR="00D86314" w:rsidRDefault="00D86314" w:rsidP="002B3FAC">
            <w:pPr>
              <w:jc w:val="center"/>
              <w:rPr>
                <w:rFonts w:ascii="Arial" w:hAnsi="Arial" w:cs="Arial"/>
                <w:b/>
                <w:bCs/>
                <w:color w:val="000000"/>
              </w:rPr>
            </w:pPr>
            <w:r>
              <w:rPr>
                <w:rFonts w:ascii="Arial" w:hAnsi="Arial" w:cs="Arial"/>
                <w:b/>
                <w:bCs/>
                <w:color w:val="000000"/>
              </w:rPr>
              <w:t>VKDE measured</w:t>
            </w:r>
          </w:p>
        </w:tc>
        <w:tc>
          <w:tcPr>
            <w:tcW w:w="3261" w:type="dxa"/>
            <w:tcBorders>
              <w:top w:val="single" w:sz="8" w:space="0" w:color="auto"/>
              <w:left w:val="nil"/>
              <w:bottom w:val="single" w:sz="8" w:space="0" w:color="auto"/>
              <w:right w:val="single" w:sz="8" w:space="0" w:color="auto"/>
            </w:tcBorders>
            <w:shd w:val="clear" w:color="auto" w:fill="auto"/>
            <w:vAlign w:val="center"/>
          </w:tcPr>
          <w:p w14:paraId="4A823E13" w14:textId="77777777" w:rsidR="00D86314" w:rsidRDefault="00D86314" w:rsidP="002B3FAC">
            <w:pPr>
              <w:jc w:val="center"/>
              <w:rPr>
                <w:rFonts w:ascii="Arial" w:hAnsi="Arial" w:cs="Arial"/>
                <w:b/>
                <w:bCs/>
                <w:color w:val="000000"/>
              </w:rPr>
            </w:pPr>
            <w:r>
              <w:rPr>
                <w:rFonts w:ascii="Arial" w:hAnsi="Arial" w:cs="Arial"/>
                <w:b/>
                <w:bCs/>
                <w:color w:val="000000"/>
              </w:rPr>
              <w:t>Hazard ratio measurement</w:t>
            </w:r>
          </w:p>
        </w:tc>
        <w:tc>
          <w:tcPr>
            <w:tcW w:w="3388" w:type="dxa"/>
            <w:tcBorders>
              <w:top w:val="single" w:sz="8" w:space="0" w:color="auto"/>
              <w:left w:val="nil"/>
              <w:bottom w:val="single" w:sz="8" w:space="0" w:color="auto"/>
              <w:right w:val="single" w:sz="8" w:space="0" w:color="auto"/>
            </w:tcBorders>
            <w:shd w:val="clear" w:color="auto" w:fill="auto"/>
            <w:vAlign w:val="center"/>
          </w:tcPr>
          <w:p w14:paraId="019428F0" w14:textId="77777777" w:rsidR="00D86314" w:rsidRDefault="00D86314" w:rsidP="002B3FAC">
            <w:pPr>
              <w:jc w:val="center"/>
              <w:rPr>
                <w:rFonts w:ascii="Arial" w:hAnsi="Arial" w:cs="Arial"/>
                <w:b/>
                <w:bCs/>
                <w:color w:val="000000"/>
              </w:rPr>
            </w:pPr>
            <w:r>
              <w:rPr>
                <w:rFonts w:ascii="Arial" w:hAnsi="Arial" w:cs="Arial"/>
                <w:b/>
                <w:bCs/>
                <w:color w:val="000000"/>
              </w:rPr>
              <w:t>Outcome</w:t>
            </w:r>
          </w:p>
        </w:tc>
        <w:tc>
          <w:tcPr>
            <w:tcW w:w="2409" w:type="dxa"/>
            <w:tcBorders>
              <w:top w:val="single" w:sz="8" w:space="0" w:color="auto"/>
              <w:left w:val="nil"/>
              <w:bottom w:val="single" w:sz="8" w:space="0" w:color="auto"/>
              <w:right w:val="single" w:sz="8" w:space="0" w:color="auto"/>
            </w:tcBorders>
            <w:shd w:val="clear" w:color="auto" w:fill="auto"/>
            <w:vAlign w:val="center"/>
          </w:tcPr>
          <w:p w14:paraId="2BF31DFC" w14:textId="77777777" w:rsidR="00D86314" w:rsidRDefault="00D86314" w:rsidP="002B3FAC">
            <w:pPr>
              <w:jc w:val="center"/>
              <w:rPr>
                <w:rFonts w:ascii="Arial" w:hAnsi="Arial" w:cs="Arial"/>
                <w:b/>
                <w:bCs/>
                <w:color w:val="000000"/>
              </w:rPr>
            </w:pPr>
            <w:r>
              <w:rPr>
                <w:rFonts w:ascii="Arial" w:hAnsi="Arial" w:cs="Arial"/>
                <w:b/>
                <w:bCs/>
                <w:color w:val="000000"/>
              </w:rPr>
              <w:t>HR (95% CI)</w:t>
            </w:r>
          </w:p>
        </w:tc>
        <w:tc>
          <w:tcPr>
            <w:tcW w:w="1479" w:type="dxa"/>
            <w:tcBorders>
              <w:top w:val="single" w:sz="8" w:space="0" w:color="auto"/>
              <w:left w:val="nil"/>
              <w:bottom w:val="single" w:sz="8" w:space="0" w:color="auto"/>
              <w:right w:val="single" w:sz="8" w:space="0" w:color="auto"/>
            </w:tcBorders>
            <w:shd w:val="clear" w:color="auto" w:fill="auto"/>
            <w:vAlign w:val="center"/>
          </w:tcPr>
          <w:p w14:paraId="28D21920" w14:textId="77777777" w:rsidR="00D86314" w:rsidRDefault="00D86314" w:rsidP="002B3FAC">
            <w:pPr>
              <w:jc w:val="center"/>
              <w:rPr>
                <w:rFonts w:ascii="Arial" w:hAnsi="Arial" w:cs="Arial"/>
                <w:b/>
                <w:bCs/>
                <w:color w:val="000000"/>
              </w:rPr>
            </w:pPr>
            <w:r>
              <w:rPr>
                <w:rFonts w:ascii="Arial" w:hAnsi="Arial" w:cs="Arial"/>
                <w:b/>
                <w:bCs/>
                <w:color w:val="000000"/>
              </w:rPr>
              <w:t>P</w:t>
            </w:r>
          </w:p>
        </w:tc>
      </w:tr>
      <w:tr w:rsidR="00D86314" w14:paraId="6483653A" w14:textId="77777777" w:rsidTr="002B3FAC">
        <w:tc>
          <w:tcPr>
            <w:tcW w:w="1311" w:type="dxa"/>
            <w:tcBorders>
              <w:top w:val="nil"/>
              <w:left w:val="nil"/>
              <w:bottom w:val="single" w:sz="8" w:space="0" w:color="000000"/>
              <w:right w:val="nil"/>
            </w:tcBorders>
            <w:shd w:val="clear" w:color="auto" w:fill="auto"/>
            <w:vAlign w:val="center"/>
          </w:tcPr>
          <w:p w14:paraId="5F12CD1B" w14:textId="77777777" w:rsidR="00D86314" w:rsidRDefault="00D86314" w:rsidP="002B3FAC">
            <w:pPr>
              <w:jc w:val="center"/>
              <w:rPr>
                <w:rFonts w:ascii="Arial" w:hAnsi="Arial" w:cs="Arial"/>
                <w:color w:val="000000"/>
              </w:rPr>
            </w:pPr>
            <w:proofErr w:type="spellStart"/>
            <w:r>
              <w:rPr>
                <w:rFonts w:ascii="Arial" w:hAnsi="Arial" w:cs="Arial"/>
                <w:color w:val="000000"/>
              </w:rPr>
              <w:t>Schurgers</w:t>
            </w:r>
            <w:proofErr w:type="spellEnd"/>
          </w:p>
        </w:tc>
        <w:tc>
          <w:tcPr>
            <w:tcW w:w="750" w:type="dxa"/>
            <w:tcBorders>
              <w:top w:val="nil"/>
              <w:left w:val="nil"/>
              <w:bottom w:val="single" w:sz="8" w:space="0" w:color="000000"/>
              <w:right w:val="nil"/>
            </w:tcBorders>
            <w:shd w:val="clear" w:color="auto" w:fill="auto"/>
            <w:vAlign w:val="center"/>
          </w:tcPr>
          <w:p w14:paraId="6F535DDC" w14:textId="77777777" w:rsidR="00D86314" w:rsidRDefault="00D86314" w:rsidP="002B3FAC">
            <w:pPr>
              <w:jc w:val="center"/>
              <w:rPr>
                <w:rFonts w:ascii="Arial" w:hAnsi="Arial" w:cs="Arial"/>
                <w:color w:val="000000"/>
              </w:rPr>
            </w:pPr>
            <w:r>
              <w:rPr>
                <w:rFonts w:ascii="Arial" w:hAnsi="Arial" w:cs="Arial"/>
                <w:color w:val="000000"/>
              </w:rPr>
              <w:t>2010</w:t>
            </w:r>
          </w:p>
        </w:tc>
        <w:tc>
          <w:tcPr>
            <w:tcW w:w="1350" w:type="dxa"/>
            <w:tcBorders>
              <w:top w:val="nil"/>
              <w:left w:val="nil"/>
              <w:bottom w:val="single" w:sz="8" w:space="0" w:color="000000"/>
              <w:right w:val="nil"/>
            </w:tcBorders>
            <w:shd w:val="clear" w:color="auto" w:fill="auto"/>
            <w:vAlign w:val="center"/>
          </w:tcPr>
          <w:p w14:paraId="6C44A95F" w14:textId="77777777" w:rsidR="00D86314" w:rsidRDefault="00D86314" w:rsidP="002B3FAC">
            <w:pPr>
              <w:jc w:val="center"/>
              <w:rPr>
                <w:rFonts w:ascii="Arial" w:hAnsi="Arial" w:cs="Arial"/>
                <w:color w:val="000000"/>
              </w:rPr>
            </w:pPr>
            <w:proofErr w:type="spellStart"/>
            <w:r>
              <w:rPr>
                <w:rFonts w:ascii="Arial" w:hAnsi="Arial" w:cs="Arial"/>
                <w:color w:val="000000"/>
              </w:rPr>
              <w:t>dp-ucMGP</w:t>
            </w:r>
            <w:proofErr w:type="spellEnd"/>
          </w:p>
        </w:tc>
        <w:tc>
          <w:tcPr>
            <w:tcW w:w="3261" w:type="dxa"/>
            <w:tcBorders>
              <w:top w:val="nil"/>
              <w:left w:val="nil"/>
              <w:bottom w:val="single" w:sz="8" w:space="0" w:color="000000"/>
              <w:right w:val="nil"/>
            </w:tcBorders>
            <w:shd w:val="clear" w:color="auto" w:fill="auto"/>
            <w:vAlign w:val="center"/>
          </w:tcPr>
          <w:p w14:paraId="21228372" w14:textId="77777777" w:rsidR="00D86314" w:rsidRDefault="00D86314" w:rsidP="002B3FAC">
            <w:pPr>
              <w:jc w:val="center"/>
              <w:rPr>
                <w:rFonts w:ascii="Arial" w:hAnsi="Arial" w:cs="Arial"/>
                <w:color w:val="000000"/>
              </w:rPr>
            </w:pPr>
            <w:r>
              <w:rPr>
                <w:rFonts w:ascii="Arial" w:hAnsi="Arial" w:cs="Arial"/>
                <w:color w:val="000000"/>
              </w:rPr>
              <w:t>HR for 100pm increase in log-transformed dpucMGP</w:t>
            </w:r>
          </w:p>
        </w:tc>
        <w:tc>
          <w:tcPr>
            <w:tcW w:w="3388" w:type="dxa"/>
            <w:tcBorders>
              <w:top w:val="nil"/>
              <w:left w:val="nil"/>
              <w:bottom w:val="single" w:sz="8" w:space="0" w:color="000000"/>
              <w:right w:val="single" w:sz="8" w:space="0" w:color="000000"/>
            </w:tcBorders>
            <w:shd w:val="clear" w:color="auto" w:fill="auto"/>
            <w:vAlign w:val="center"/>
          </w:tcPr>
          <w:p w14:paraId="44196F7A" w14:textId="77777777" w:rsidR="00D86314" w:rsidRDefault="00D86314" w:rsidP="002B3FAC">
            <w:pPr>
              <w:jc w:val="center"/>
              <w:rPr>
                <w:rFonts w:ascii="Arial" w:hAnsi="Arial" w:cs="Arial"/>
                <w:color w:val="000000"/>
              </w:rPr>
            </w:pPr>
            <w:r>
              <w:rPr>
                <w:rFonts w:ascii="Arial" w:hAnsi="Arial" w:cs="Arial"/>
                <w:color w:val="000000"/>
              </w:rPr>
              <w:t>Mortality</w:t>
            </w:r>
          </w:p>
        </w:tc>
        <w:tc>
          <w:tcPr>
            <w:tcW w:w="2409" w:type="dxa"/>
            <w:tcBorders>
              <w:top w:val="nil"/>
              <w:left w:val="nil"/>
              <w:bottom w:val="single" w:sz="8" w:space="0" w:color="000000"/>
              <w:right w:val="nil"/>
            </w:tcBorders>
            <w:shd w:val="clear" w:color="auto" w:fill="auto"/>
            <w:vAlign w:val="center"/>
          </w:tcPr>
          <w:p w14:paraId="1ED6649A" w14:textId="77777777" w:rsidR="00D86314" w:rsidRDefault="00D86314" w:rsidP="002B3FAC">
            <w:pPr>
              <w:jc w:val="center"/>
              <w:rPr>
                <w:rFonts w:ascii="Arial" w:hAnsi="Arial" w:cs="Arial"/>
                <w:color w:val="000000"/>
              </w:rPr>
            </w:pPr>
            <w:r>
              <w:rPr>
                <w:rFonts w:ascii="Arial" w:hAnsi="Arial" w:cs="Arial"/>
                <w:color w:val="000000"/>
              </w:rPr>
              <w:t>1.06 (1.02-1.10)</w:t>
            </w:r>
          </w:p>
        </w:tc>
        <w:tc>
          <w:tcPr>
            <w:tcW w:w="1479" w:type="dxa"/>
            <w:tcBorders>
              <w:top w:val="nil"/>
              <w:left w:val="nil"/>
              <w:bottom w:val="single" w:sz="8" w:space="0" w:color="000000"/>
              <w:right w:val="nil"/>
            </w:tcBorders>
            <w:shd w:val="clear" w:color="auto" w:fill="auto"/>
            <w:vAlign w:val="center"/>
          </w:tcPr>
          <w:p w14:paraId="21DE3426" w14:textId="77777777" w:rsidR="00D86314" w:rsidRDefault="00D86314" w:rsidP="002B3FAC">
            <w:pPr>
              <w:jc w:val="center"/>
              <w:rPr>
                <w:rFonts w:ascii="Arial" w:hAnsi="Arial" w:cs="Arial"/>
                <w:color w:val="000000"/>
              </w:rPr>
            </w:pPr>
            <w:r>
              <w:rPr>
                <w:rFonts w:ascii="Arial" w:hAnsi="Arial" w:cs="Arial"/>
                <w:color w:val="000000"/>
              </w:rPr>
              <w:t>0.005</w:t>
            </w:r>
          </w:p>
        </w:tc>
      </w:tr>
      <w:tr w:rsidR="00D86314" w14:paraId="25C094DF" w14:textId="77777777" w:rsidTr="002B3FAC">
        <w:tc>
          <w:tcPr>
            <w:tcW w:w="1311" w:type="dxa"/>
            <w:tcBorders>
              <w:top w:val="nil"/>
              <w:left w:val="nil"/>
              <w:bottom w:val="single" w:sz="8" w:space="0" w:color="000000"/>
              <w:right w:val="nil"/>
            </w:tcBorders>
            <w:shd w:val="clear" w:color="auto" w:fill="auto"/>
            <w:vAlign w:val="center"/>
          </w:tcPr>
          <w:p w14:paraId="1FCF5098" w14:textId="77777777" w:rsidR="00D86314" w:rsidRDefault="00D86314" w:rsidP="002B3FAC">
            <w:pPr>
              <w:jc w:val="center"/>
              <w:rPr>
                <w:rFonts w:ascii="Arial" w:hAnsi="Arial" w:cs="Arial"/>
                <w:color w:val="000000"/>
              </w:rPr>
            </w:pPr>
            <w:proofErr w:type="spellStart"/>
            <w:r>
              <w:rPr>
                <w:rFonts w:ascii="Arial" w:hAnsi="Arial" w:cs="Arial"/>
                <w:color w:val="000000"/>
              </w:rPr>
              <w:t>Dalmeijer</w:t>
            </w:r>
            <w:proofErr w:type="spellEnd"/>
          </w:p>
        </w:tc>
        <w:tc>
          <w:tcPr>
            <w:tcW w:w="750" w:type="dxa"/>
            <w:tcBorders>
              <w:top w:val="nil"/>
              <w:left w:val="nil"/>
              <w:bottom w:val="single" w:sz="8" w:space="0" w:color="000000"/>
              <w:right w:val="nil"/>
            </w:tcBorders>
            <w:shd w:val="clear" w:color="auto" w:fill="auto"/>
            <w:vAlign w:val="center"/>
          </w:tcPr>
          <w:p w14:paraId="6F53879F" w14:textId="77777777" w:rsidR="00D86314" w:rsidRDefault="00D86314" w:rsidP="002B3FAC">
            <w:pPr>
              <w:jc w:val="center"/>
              <w:rPr>
                <w:rFonts w:ascii="Arial" w:hAnsi="Arial" w:cs="Arial"/>
                <w:color w:val="000000"/>
              </w:rPr>
            </w:pPr>
            <w:r>
              <w:rPr>
                <w:rFonts w:ascii="Arial" w:hAnsi="Arial" w:cs="Arial"/>
                <w:color w:val="000000"/>
              </w:rPr>
              <w:t>2013</w:t>
            </w:r>
          </w:p>
        </w:tc>
        <w:tc>
          <w:tcPr>
            <w:tcW w:w="1350" w:type="dxa"/>
            <w:tcBorders>
              <w:top w:val="nil"/>
              <w:left w:val="nil"/>
              <w:bottom w:val="single" w:sz="8" w:space="0" w:color="000000"/>
              <w:right w:val="nil"/>
            </w:tcBorders>
            <w:shd w:val="clear" w:color="auto" w:fill="auto"/>
            <w:vAlign w:val="center"/>
          </w:tcPr>
          <w:p w14:paraId="7286C5A3" w14:textId="77777777" w:rsidR="00D86314" w:rsidRDefault="00D86314" w:rsidP="002B3FAC">
            <w:pPr>
              <w:jc w:val="center"/>
              <w:rPr>
                <w:rFonts w:ascii="Arial" w:hAnsi="Arial" w:cs="Arial"/>
                <w:color w:val="000000"/>
              </w:rPr>
            </w:pPr>
            <w:proofErr w:type="spellStart"/>
            <w:r>
              <w:rPr>
                <w:rFonts w:ascii="Arial" w:hAnsi="Arial" w:cs="Arial"/>
                <w:color w:val="000000"/>
              </w:rPr>
              <w:t>dp-ucMGP</w:t>
            </w:r>
            <w:proofErr w:type="spellEnd"/>
          </w:p>
        </w:tc>
        <w:tc>
          <w:tcPr>
            <w:tcW w:w="3261" w:type="dxa"/>
            <w:tcBorders>
              <w:top w:val="nil"/>
              <w:left w:val="nil"/>
              <w:bottom w:val="single" w:sz="8" w:space="0" w:color="000000"/>
              <w:right w:val="nil"/>
            </w:tcBorders>
            <w:shd w:val="clear" w:color="auto" w:fill="auto"/>
            <w:vAlign w:val="center"/>
          </w:tcPr>
          <w:p w14:paraId="3758E731" w14:textId="77777777" w:rsidR="00D86314" w:rsidRDefault="00D86314" w:rsidP="002B3FAC">
            <w:pPr>
              <w:jc w:val="center"/>
              <w:rPr>
                <w:rFonts w:ascii="Arial" w:hAnsi="Arial" w:cs="Arial"/>
                <w:color w:val="000000"/>
              </w:rPr>
            </w:pPr>
            <w:r>
              <w:rPr>
                <w:rFonts w:ascii="Arial" w:hAnsi="Arial" w:cs="Arial"/>
                <w:color w:val="000000"/>
              </w:rPr>
              <w:t>HR per change in standard deviation</w:t>
            </w:r>
          </w:p>
        </w:tc>
        <w:tc>
          <w:tcPr>
            <w:tcW w:w="3388" w:type="dxa"/>
            <w:tcBorders>
              <w:top w:val="nil"/>
              <w:left w:val="nil"/>
              <w:bottom w:val="single" w:sz="8" w:space="0" w:color="000000"/>
              <w:right w:val="single" w:sz="8" w:space="0" w:color="000000"/>
            </w:tcBorders>
            <w:shd w:val="clear" w:color="auto" w:fill="auto"/>
            <w:vAlign w:val="center"/>
          </w:tcPr>
          <w:p w14:paraId="68AA08B5" w14:textId="77777777" w:rsidR="00D86314" w:rsidRDefault="00D86314" w:rsidP="002B3FAC">
            <w:pPr>
              <w:jc w:val="center"/>
              <w:rPr>
                <w:rFonts w:ascii="Arial" w:hAnsi="Arial" w:cs="Arial"/>
                <w:color w:val="000000"/>
              </w:rPr>
            </w:pPr>
            <w:r>
              <w:rPr>
                <w:rFonts w:ascii="Arial" w:hAnsi="Arial" w:cs="Arial"/>
                <w:color w:val="000000"/>
              </w:rPr>
              <w:t>Fatal and non-fatal CVD</w:t>
            </w:r>
          </w:p>
        </w:tc>
        <w:tc>
          <w:tcPr>
            <w:tcW w:w="2409" w:type="dxa"/>
            <w:tcBorders>
              <w:top w:val="nil"/>
              <w:left w:val="nil"/>
              <w:bottom w:val="single" w:sz="8" w:space="0" w:color="000000"/>
              <w:right w:val="nil"/>
            </w:tcBorders>
            <w:shd w:val="clear" w:color="auto" w:fill="auto"/>
            <w:vAlign w:val="center"/>
          </w:tcPr>
          <w:p w14:paraId="5E1CF3A6" w14:textId="77777777" w:rsidR="00D86314" w:rsidRDefault="00D86314" w:rsidP="002B3FAC">
            <w:pPr>
              <w:jc w:val="center"/>
              <w:rPr>
                <w:rFonts w:ascii="Arial" w:hAnsi="Arial" w:cs="Arial"/>
                <w:color w:val="000000"/>
              </w:rPr>
            </w:pPr>
            <w:r>
              <w:rPr>
                <w:rFonts w:ascii="Arial" w:hAnsi="Arial" w:cs="Arial"/>
                <w:color w:val="000000"/>
              </w:rPr>
              <w:t>1.37 (1-21-1.54)</w:t>
            </w:r>
          </w:p>
        </w:tc>
        <w:tc>
          <w:tcPr>
            <w:tcW w:w="1479" w:type="dxa"/>
            <w:tcBorders>
              <w:top w:val="nil"/>
              <w:left w:val="nil"/>
              <w:bottom w:val="single" w:sz="8" w:space="0" w:color="000000"/>
              <w:right w:val="nil"/>
            </w:tcBorders>
            <w:shd w:val="clear" w:color="auto" w:fill="auto"/>
            <w:vAlign w:val="center"/>
          </w:tcPr>
          <w:p w14:paraId="17BC16BA" w14:textId="77777777" w:rsidR="00D86314" w:rsidRDefault="00D86314" w:rsidP="002B3FAC">
            <w:pPr>
              <w:jc w:val="center"/>
              <w:rPr>
                <w:rFonts w:ascii="Arial" w:hAnsi="Arial" w:cs="Arial"/>
                <w:color w:val="000000"/>
              </w:rPr>
            </w:pPr>
            <w:r>
              <w:rPr>
                <w:rFonts w:ascii="Arial" w:hAnsi="Arial" w:cs="Arial"/>
                <w:color w:val="000000"/>
              </w:rPr>
              <w:t>Not reported</w:t>
            </w:r>
          </w:p>
        </w:tc>
      </w:tr>
      <w:tr w:rsidR="00D86314" w14:paraId="6235E4A9" w14:textId="77777777" w:rsidTr="002B3FAC">
        <w:tc>
          <w:tcPr>
            <w:tcW w:w="1311" w:type="dxa"/>
            <w:tcBorders>
              <w:top w:val="nil"/>
              <w:left w:val="nil"/>
              <w:bottom w:val="single" w:sz="8" w:space="0" w:color="000000"/>
              <w:right w:val="nil"/>
            </w:tcBorders>
            <w:shd w:val="clear" w:color="auto" w:fill="auto"/>
            <w:vAlign w:val="center"/>
          </w:tcPr>
          <w:p w14:paraId="681BE46F" w14:textId="77777777" w:rsidR="00D86314" w:rsidRDefault="00D86314" w:rsidP="002B3FAC">
            <w:pPr>
              <w:jc w:val="center"/>
              <w:rPr>
                <w:rFonts w:ascii="Arial" w:hAnsi="Arial" w:cs="Arial"/>
                <w:color w:val="000000"/>
              </w:rPr>
            </w:pPr>
            <w:proofErr w:type="spellStart"/>
            <w:r>
              <w:rPr>
                <w:rFonts w:ascii="Arial" w:hAnsi="Arial" w:cs="Arial"/>
                <w:color w:val="000000"/>
              </w:rPr>
              <w:t>Dalmeijer</w:t>
            </w:r>
            <w:proofErr w:type="spellEnd"/>
          </w:p>
        </w:tc>
        <w:tc>
          <w:tcPr>
            <w:tcW w:w="750" w:type="dxa"/>
            <w:tcBorders>
              <w:top w:val="nil"/>
              <w:left w:val="nil"/>
              <w:bottom w:val="single" w:sz="8" w:space="0" w:color="000000"/>
              <w:right w:val="nil"/>
            </w:tcBorders>
            <w:shd w:val="clear" w:color="auto" w:fill="auto"/>
            <w:vAlign w:val="center"/>
          </w:tcPr>
          <w:p w14:paraId="111763B9" w14:textId="77777777" w:rsidR="00D86314" w:rsidRDefault="00D86314" w:rsidP="002B3FAC">
            <w:pPr>
              <w:jc w:val="center"/>
              <w:rPr>
                <w:rFonts w:ascii="Arial" w:hAnsi="Arial" w:cs="Arial"/>
                <w:color w:val="000000"/>
              </w:rPr>
            </w:pPr>
            <w:r>
              <w:rPr>
                <w:rFonts w:ascii="Arial" w:hAnsi="Arial" w:cs="Arial"/>
                <w:color w:val="000000"/>
              </w:rPr>
              <w:t>2014</w:t>
            </w:r>
          </w:p>
        </w:tc>
        <w:tc>
          <w:tcPr>
            <w:tcW w:w="1350" w:type="dxa"/>
            <w:tcBorders>
              <w:top w:val="nil"/>
              <w:left w:val="nil"/>
              <w:bottom w:val="single" w:sz="8" w:space="0" w:color="000000"/>
              <w:right w:val="nil"/>
            </w:tcBorders>
            <w:shd w:val="clear" w:color="auto" w:fill="auto"/>
            <w:vAlign w:val="center"/>
          </w:tcPr>
          <w:p w14:paraId="49596B2D" w14:textId="77777777" w:rsidR="00D86314" w:rsidRDefault="00D86314" w:rsidP="002B3FAC">
            <w:pPr>
              <w:jc w:val="center"/>
              <w:rPr>
                <w:rFonts w:ascii="Arial" w:hAnsi="Arial" w:cs="Arial"/>
                <w:color w:val="000000"/>
              </w:rPr>
            </w:pPr>
            <w:proofErr w:type="spellStart"/>
            <w:r>
              <w:rPr>
                <w:rFonts w:ascii="Arial" w:hAnsi="Arial" w:cs="Arial"/>
                <w:color w:val="000000"/>
              </w:rPr>
              <w:t>dp-ucMGP</w:t>
            </w:r>
            <w:proofErr w:type="spellEnd"/>
          </w:p>
        </w:tc>
        <w:tc>
          <w:tcPr>
            <w:tcW w:w="3261" w:type="dxa"/>
            <w:tcBorders>
              <w:top w:val="nil"/>
              <w:left w:val="nil"/>
              <w:bottom w:val="single" w:sz="8" w:space="0" w:color="000000"/>
              <w:right w:val="nil"/>
            </w:tcBorders>
            <w:shd w:val="clear" w:color="auto" w:fill="auto"/>
            <w:vAlign w:val="center"/>
          </w:tcPr>
          <w:p w14:paraId="06717551" w14:textId="77777777" w:rsidR="00D86314" w:rsidRDefault="00D86314" w:rsidP="002B3FAC">
            <w:pPr>
              <w:jc w:val="center"/>
              <w:rPr>
                <w:rFonts w:ascii="Arial" w:hAnsi="Arial" w:cs="Arial"/>
                <w:color w:val="000000"/>
              </w:rPr>
            </w:pPr>
            <w:r>
              <w:rPr>
                <w:rFonts w:ascii="Arial" w:hAnsi="Arial" w:cs="Arial"/>
                <w:color w:val="000000"/>
              </w:rPr>
              <w:t>HR per change in standard deviation</w:t>
            </w:r>
          </w:p>
        </w:tc>
        <w:tc>
          <w:tcPr>
            <w:tcW w:w="3388" w:type="dxa"/>
            <w:tcBorders>
              <w:top w:val="nil"/>
              <w:left w:val="nil"/>
              <w:bottom w:val="single" w:sz="8" w:space="0" w:color="000000"/>
              <w:right w:val="single" w:sz="8" w:space="0" w:color="000000"/>
            </w:tcBorders>
            <w:shd w:val="clear" w:color="auto" w:fill="auto"/>
            <w:vAlign w:val="center"/>
          </w:tcPr>
          <w:p w14:paraId="49AE6158" w14:textId="77777777" w:rsidR="00D86314" w:rsidRDefault="00D86314" w:rsidP="002B3FAC">
            <w:pPr>
              <w:jc w:val="center"/>
              <w:rPr>
                <w:rFonts w:ascii="Arial" w:hAnsi="Arial" w:cs="Arial"/>
                <w:color w:val="000000"/>
              </w:rPr>
            </w:pPr>
            <w:r>
              <w:rPr>
                <w:rFonts w:ascii="Arial" w:hAnsi="Arial" w:cs="Arial"/>
                <w:color w:val="000000"/>
              </w:rPr>
              <w:t>Coronary heart disease</w:t>
            </w:r>
          </w:p>
        </w:tc>
        <w:tc>
          <w:tcPr>
            <w:tcW w:w="2409" w:type="dxa"/>
            <w:tcBorders>
              <w:top w:val="nil"/>
              <w:left w:val="nil"/>
              <w:bottom w:val="single" w:sz="8" w:space="0" w:color="000000"/>
              <w:right w:val="nil"/>
            </w:tcBorders>
            <w:shd w:val="clear" w:color="auto" w:fill="auto"/>
            <w:vAlign w:val="center"/>
          </w:tcPr>
          <w:p w14:paraId="41D93A4C" w14:textId="77777777" w:rsidR="00D86314" w:rsidRDefault="00D86314" w:rsidP="002B3FAC">
            <w:pPr>
              <w:jc w:val="center"/>
              <w:rPr>
                <w:rFonts w:ascii="Arial" w:hAnsi="Arial" w:cs="Arial"/>
                <w:color w:val="000000"/>
              </w:rPr>
            </w:pPr>
            <w:r>
              <w:rPr>
                <w:rFonts w:ascii="Arial" w:hAnsi="Arial" w:cs="Arial"/>
                <w:color w:val="000000"/>
              </w:rPr>
              <w:t>1.03 (0.98-1.10)</w:t>
            </w:r>
          </w:p>
        </w:tc>
        <w:tc>
          <w:tcPr>
            <w:tcW w:w="1479" w:type="dxa"/>
            <w:tcBorders>
              <w:top w:val="nil"/>
              <w:left w:val="nil"/>
              <w:bottom w:val="single" w:sz="8" w:space="0" w:color="000000"/>
              <w:right w:val="nil"/>
            </w:tcBorders>
            <w:shd w:val="clear" w:color="auto" w:fill="auto"/>
            <w:vAlign w:val="center"/>
          </w:tcPr>
          <w:p w14:paraId="459E3A78" w14:textId="77777777" w:rsidR="00D86314" w:rsidRDefault="00D86314" w:rsidP="002B3FAC">
            <w:pPr>
              <w:jc w:val="center"/>
              <w:rPr>
                <w:rFonts w:ascii="Arial" w:hAnsi="Arial" w:cs="Arial"/>
                <w:color w:val="000000"/>
              </w:rPr>
            </w:pPr>
            <w:r>
              <w:rPr>
                <w:rFonts w:ascii="Arial" w:hAnsi="Arial" w:cs="Arial"/>
                <w:color w:val="000000"/>
              </w:rPr>
              <w:t>Not reported</w:t>
            </w:r>
          </w:p>
        </w:tc>
      </w:tr>
      <w:tr w:rsidR="00D86314" w14:paraId="0E60C2CB" w14:textId="77777777" w:rsidTr="002B3FAC">
        <w:tc>
          <w:tcPr>
            <w:tcW w:w="1311" w:type="dxa"/>
            <w:tcBorders>
              <w:top w:val="nil"/>
              <w:left w:val="nil"/>
              <w:bottom w:val="single" w:sz="8" w:space="0" w:color="000000"/>
              <w:right w:val="nil"/>
            </w:tcBorders>
            <w:shd w:val="clear" w:color="auto" w:fill="auto"/>
            <w:vAlign w:val="center"/>
          </w:tcPr>
          <w:p w14:paraId="489203C8" w14:textId="77777777" w:rsidR="00D86314" w:rsidRDefault="00D86314" w:rsidP="002B3FAC">
            <w:pPr>
              <w:jc w:val="center"/>
              <w:rPr>
                <w:rFonts w:ascii="Arial" w:hAnsi="Arial" w:cs="Arial"/>
                <w:color w:val="000000"/>
              </w:rPr>
            </w:pPr>
            <w:r>
              <w:rPr>
                <w:rFonts w:ascii="Arial" w:hAnsi="Arial" w:cs="Arial"/>
                <w:color w:val="000000"/>
              </w:rPr>
              <w:t>Liu</w:t>
            </w:r>
          </w:p>
        </w:tc>
        <w:tc>
          <w:tcPr>
            <w:tcW w:w="750" w:type="dxa"/>
            <w:tcBorders>
              <w:top w:val="nil"/>
              <w:left w:val="nil"/>
              <w:bottom w:val="single" w:sz="8" w:space="0" w:color="000000"/>
              <w:right w:val="nil"/>
            </w:tcBorders>
            <w:shd w:val="clear" w:color="auto" w:fill="auto"/>
            <w:vAlign w:val="center"/>
          </w:tcPr>
          <w:p w14:paraId="24A7E813" w14:textId="77777777" w:rsidR="00D86314" w:rsidRDefault="00D86314" w:rsidP="002B3FAC">
            <w:pPr>
              <w:jc w:val="center"/>
              <w:rPr>
                <w:rFonts w:ascii="Arial" w:hAnsi="Arial" w:cs="Arial"/>
                <w:color w:val="000000"/>
              </w:rPr>
            </w:pPr>
            <w:r>
              <w:rPr>
                <w:rFonts w:ascii="Arial" w:hAnsi="Arial" w:cs="Arial"/>
                <w:color w:val="000000"/>
              </w:rPr>
              <w:t>2014</w:t>
            </w:r>
          </w:p>
        </w:tc>
        <w:tc>
          <w:tcPr>
            <w:tcW w:w="1350" w:type="dxa"/>
            <w:tcBorders>
              <w:top w:val="nil"/>
              <w:left w:val="nil"/>
              <w:bottom w:val="single" w:sz="8" w:space="0" w:color="000000"/>
              <w:right w:val="nil"/>
            </w:tcBorders>
            <w:shd w:val="clear" w:color="auto" w:fill="auto"/>
            <w:vAlign w:val="center"/>
          </w:tcPr>
          <w:p w14:paraId="587EE144" w14:textId="77777777" w:rsidR="00D86314" w:rsidRDefault="00D86314" w:rsidP="002B3FAC">
            <w:pPr>
              <w:jc w:val="center"/>
              <w:rPr>
                <w:rFonts w:ascii="Arial" w:hAnsi="Arial" w:cs="Arial"/>
                <w:color w:val="000000"/>
              </w:rPr>
            </w:pPr>
            <w:proofErr w:type="spellStart"/>
            <w:r>
              <w:rPr>
                <w:rFonts w:ascii="Arial" w:hAnsi="Arial" w:cs="Arial"/>
                <w:color w:val="000000"/>
              </w:rPr>
              <w:t>dp-ucMGP</w:t>
            </w:r>
            <w:proofErr w:type="spellEnd"/>
          </w:p>
        </w:tc>
        <w:tc>
          <w:tcPr>
            <w:tcW w:w="3261" w:type="dxa"/>
            <w:tcBorders>
              <w:top w:val="nil"/>
              <w:left w:val="nil"/>
              <w:bottom w:val="single" w:sz="8" w:space="0" w:color="000000"/>
              <w:right w:val="nil"/>
            </w:tcBorders>
            <w:shd w:val="clear" w:color="auto" w:fill="auto"/>
            <w:vAlign w:val="center"/>
          </w:tcPr>
          <w:p w14:paraId="1694C8AB" w14:textId="77777777" w:rsidR="00D86314" w:rsidRDefault="00D86314" w:rsidP="002B3FAC">
            <w:pPr>
              <w:jc w:val="center"/>
              <w:rPr>
                <w:rFonts w:ascii="Arial" w:hAnsi="Arial" w:cs="Arial"/>
                <w:color w:val="000000"/>
              </w:rPr>
            </w:pPr>
            <w:r>
              <w:rPr>
                <w:rFonts w:ascii="Arial" w:hAnsi="Arial" w:cs="Arial"/>
                <w:color w:val="000000"/>
              </w:rPr>
              <w:t xml:space="preserve">HR per increase in </w:t>
            </w:r>
            <w:proofErr w:type="spellStart"/>
            <w:r>
              <w:rPr>
                <w:rFonts w:ascii="Arial" w:hAnsi="Arial" w:cs="Arial"/>
                <w:color w:val="000000"/>
              </w:rPr>
              <w:t>dp-ucMGP</w:t>
            </w:r>
            <w:proofErr w:type="spellEnd"/>
            <w:r>
              <w:rPr>
                <w:rFonts w:ascii="Arial" w:hAnsi="Arial" w:cs="Arial"/>
                <w:color w:val="000000"/>
              </w:rPr>
              <w:t xml:space="preserve"> (squared)</w:t>
            </w:r>
          </w:p>
        </w:tc>
        <w:tc>
          <w:tcPr>
            <w:tcW w:w="3388" w:type="dxa"/>
            <w:tcBorders>
              <w:top w:val="nil"/>
              <w:left w:val="nil"/>
              <w:bottom w:val="single" w:sz="8" w:space="0" w:color="000000"/>
              <w:right w:val="single" w:sz="8" w:space="0" w:color="000000"/>
            </w:tcBorders>
            <w:shd w:val="clear" w:color="auto" w:fill="auto"/>
            <w:vAlign w:val="center"/>
          </w:tcPr>
          <w:p w14:paraId="64E30F3A" w14:textId="77777777" w:rsidR="00D86314" w:rsidRDefault="00D86314" w:rsidP="002B3FAC">
            <w:pPr>
              <w:jc w:val="center"/>
              <w:rPr>
                <w:rFonts w:ascii="Arial" w:hAnsi="Arial" w:cs="Arial"/>
                <w:color w:val="000000"/>
              </w:rPr>
            </w:pPr>
            <w:r>
              <w:rPr>
                <w:rFonts w:ascii="Arial" w:hAnsi="Arial" w:cs="Arial"/>
                <w:color w:val="000000"/>
              </w:rPr>
              <w:t>Mortality</w:t>
            </w:r>
          </w:p>
        </w:tc>
        <w:tc>
          <w:tcPr>
            <w:tcW w:w="2409" w:type="dxa"/>
            <w:tcBorders>
              <w:top w:val="nil"/>
              <w:left w:val="nil"/>
              <w:bottom w:val="single" w:sz="8" w:space="0" w:color="000000"/>
              <w:right w:val="nil"/>
            </w:tcBorders>
            <w:shd w:val="clear" w:color="auto" w:fill="auto"/>
            <w:vAlign w:val="center"/>
          </w:tcPr>
          <w:p w14:paraId="75CC0C5E" w14:textId="77777777" w:rsidR="00D86314" w:rsidRDefault="00D86314" w:rsidP="002B3FAC">
            <w:pPr>
              <w:jc w:val="center"/>
              <w:rPr>
                <w:rFonts w:ascii="Arial" w:hAnsi="Arial" w:cs="Arial"/>
                <w:color w:val="000000"/>
              </w:rPr>
            </w:pPr>
            <w:r>
              <w:rPr>
                <w:rFonts w:ascii="Arial" w:hAnsi="Arial" w:cs="Arial"/>
                <w:color w:val="000000"/>
              </w:rPr>
              <w:t>1.02 (1.01-1.03)</w:t>
            </w:r>
          </w:p>
        </w:tc>
        <w:tc>
          <w:tcPr>
            <w:tcW w:w="1479" w:type="dxa"/>
            <w:tcBorders>
              <w:top w:val="nil"/>
              <w:left w:val="nil"/>
              <w:bottom w:val="single" w:sz="8" w:space="0" w:color="000000"/>
              <w:right w:val="nil"/>
            </w:tcBorders>
            <w:shd w:val="clear" w:color="auto" w:fill="auto"/>
            <w:vAlign w:val="center"/>
          </w:tcPr>
          <w:p w14:paraId="30036C5C" w14:textId="77777777" w:rsidR="00D86314" w:rsidRDefault="00D86314" w:rsidP="002B3FAC">
            <w:pPr>
              <w:jc w:val="center"/>
              <w:rPr>
                <w:rFonts w:ascii="Arial" w:hAnsi="Arial" w:cs="Arial"/>
                <w:color w:val="000000"/>
              </w:rPr>
            </w:pPr>
            <w:r>
              <w:rPr>
                <w:rFonts w:ascii="Arial" w:hAnsi="Arial" w:cs="Arial"/>
                <w:color w:val="000000"/>
              </w:rPr>
              <w:t>&lt;0.001</w:t>
            </w:r>
          </w:p>
        </w:tc>
      </w:tr>
      <w:tr w:rsidR="00D86314" w14:paraId="46BD9A63" w14:textId="77777777" w:rsidTr="002B3FAC">
        <w:tc>
          <w:tcPr>
            <w:tcW w:w="1311" w:type="dxa"/>
            <w:tcBorders>
              <w:top w:val="nil"/>
              <w:left w:val="nil"/>
              <w:bottom w:val="single" w:sz="8" w:space="0" w:color="000000"/>
              <w:right w:val="nil"/>
            </w:tcBorders>
            <w:shd w:val="clear" w:color="auto" w:fill="auto"/>
            <w:vAlign w:val="center"/>
          </w:tcPr>
          <w:p w14:paraId="311D9028" w14:textId="77777777" w:rsidR="00D86314" w:rsidRDefault="00D86314" w:rsidP="002B3FAC">
            <w:pPr>
              <w:jc w:val="center"/>
              <w:rPr>
                <w:rFonts w:ascii="Arial" w:hAnsi="Arial" w:cs="Arial"/>
                <w:color w:val="000000"/>
              </w:rPr>
            </w:pPr>
            <w:r>
              <w:rPr>
                <w:rFonts w:ascii="Arial" w:hAnsi="Arial" w:cs="Arial"/>
                <w:color w:val="000000"/>
              </w:rPr>
              <w:t>Liu</w:t>
            </w:r>
          </w:p>
        </w:tc>
        <w:tc>
          <w:tcPr>
            <w:tcW w:w="750" w:type="dxa"/>
            <w:tcBorders>
              <w:top w:val="nil"/>
              <w:left w:val="nil"/>
              <w:bottom w:val="single" w:sz="8" w:space="0" w:color="000000"/>
              <w:right w:val="nil"/>
            </w:tcBorders>
            <w:shd w:val="clear" w:color="auto" w:fill="auto"/>
            <w:vAlign w:val="center"/>
          </w:tcPr>
          <w:p w14:paraId="56302107" w14:textId="77777777" w:rsidR="00D86314" w:rsidRDefault="00D86314" w:rsidP="002B3FAC">
            <w:pPr>
              <w:jc w:val="center"/>
              <w:rPr>
                <w:rFonts w:ascii="Arial" w:hAnsi="Arial" w:cs="Arial"/>
                <w:color w:val="000000"/>
              </w:rPr>
            </w:pPr>
            <w:r>
              <w:rPr>
                <w:rFonts w:ascii="Arial" w:hAnsi="Arial" w:cs="Arial"/>
                <w:color w:val="000000"/>
              </w:rPr>
              <w:t>2014</w:t>
            </w:r>
          </w:p>
        </w:tc>
        <w:tc>
          <w:tcPr>
            <w:tcW w:w="1350" w:type="dxa"/>
            <w:tcBorders>
              <w:top w:val="nil"/>
              <w:left w:val="nil"/>
              <w:bottom w:val="single" w:sz="8" w:space="0" w:color="000000"/>
              <w:right w:val="nil"/>
            </w:tcBorders>
            <w:shd w:val="clear" w:color="auto" w:fill="auto"/>
            <w:vAlign w:val="center"/>
          </w:tcPr>
          <w:p w14:paraId="0F6FE2DC" w14:textId="77777777" w:rsidR="00D86314" w:rsidRDefault="00D86314" w:rsidP="002B3FAC">
            <w:pPr>
              <w:jc w:val="center"/>
              <w:rPr>
                <w:rFonts w:ascii="Arial" w:hAnsi="Arial" w:cs="Arial"/>
                <w:color w:val="000000"/>
              </w:rPr>
            </w:pPr>
            <w:proofErr w:type="spellStart"/>
            <w:r>
              <w:rPr>
                <w:rFonts w:ascii="Arial" w:hAnsi="Arial" w:cs="Arial"/>
                <w:color w:val="000000"/>
              </w:rPr>
              <w:t>dp-ucMGP</w:t>
            </w:r>
            <w:proofErr w:type="spellEnd"/>
          </w:p>
        </w:tc>
        <w:tc>
          <w:tcPr>
            <w:tcW w:w="3261" w:type="dxa"/>
            <w:tcBorders>
              <w:top w:val="nil"/>
              <w:left w:val="nil"/>
              <w:bottom w:val="single" w:sz="8" w:space="0" w:color="000000"/>
              <w:right w:val="nil"/>
            </w:tcBorders>
            <w:shd w:val="clear" w:color="auto" w:fill="auto"/>
            <w:vAlign w:val="center"/>
          </w:tcPr>
          <w:p w14:paraId="525ED92E" w14:textId="77777777" w:rsidR="00D86314" w:rsidRDefault="00D86314" w:rsidP="002B3FAC">
            <w:pPr>
              <w:jc w:val="center"/>
              <w:rPr>
                <w:rFonts w:ascii="Arial" w:hAnsi="Arial" w:cs="Arial"/>
                <w:color w:val="000000"/>
              </w:rPr>
            </w:pPr>
            <w:r>
              <w:rPr>
                <w:rFonts w:ascii="Arial" w:hAnsi="Arial" w:cs="Arial"/>
                <w:color w:val="000000"/>
              </w:rPr>
              <w:t xml:space="preserve">HR per increase in </w:t>
            </w:r>
            <w:proofErr w:type="spellStart"/>
            <w:r>
              <w:rPr>
                <w:rFonts w:ascii="Arial" w:hAnsi="Arial" w:cs="Arial"/>
                <w:color w:val="000000"/>
              </w:rPr>
              <w:t>dp-ucMGP</w:t>
            </w:r>
            <w:proofErr w:type="spellEnd"/>
            <w:r>
              <w:rPr>
                <w:rFonts w:ascii="Arial" w:hAnsi="Arial" w:cs="Arial"/>
                <w:color w:val="000000"/>
              </w:rPr>
              <w:t xml:space="preserve"> (squared)</w:t>
            </w:r>
          </w:p>
        </w:tc>
        <w:tc>
          <w:tcPr>
            <w:tcW w:w="3388" w:type="dxa"/>
            <w:tcBorders>
              <w:top w:val="nil"/>
              <w:left w:val="nil"/>
              <w:bottom w:val="single" w:sz="8" w:space="0" w:color="000000"/>
              <w:right w:val="single" w:sz="8" w:space="0" w:color="000000"/>
            </w:tcBorders>
            <w:shd w:val="clear" w:color="auto" w:fill="auto"/>
            <w:vAlign w:val="center"/>
          </w:tcPr>
          <w:p w14:paraId="1BBE8996" w14:textId="77777777" w:rsidR="00D86314" w:rsidRDefault="00D86314" w:rsidP="002B3FAC">
            <w:pPr>
              <w:jc w:val="center"/>
              <w:rPr>
                <w:rFonts w:ascii="Arial" w:hAnsi="Arial" w:cs="Arial"/>
                <w:color w:val="000000"/>
              </w:rPr>
            </w:pPr>
            <w:r>
              <w:rPr>
                <w:rFonts w:ascii="Arial" w:hAnsi="Arial" w:cs="Arial"/>
                <w:color w:val="000000"/>
              </w:rPr>
              <w:t>CV events</w:t>
            </w:r>
          </w:p>
        </w:tc>
        <w:tc>
          <w:tcPr>
            <w:tcW w:w="2409" w:type="dxa"/>
            <w:tcBorders>
              <w:top w:val="nil"/>
              <w:left w:val="nil"/>
              <w:bottom w:val="single" w:sz="8" w:space="0" w:color="000000"/>
              <w:right w:val="nil"/>
            </w:tcBorders>
            <w:shd w:val="clear" w:color="auto" w:fill="auto"/>
            <w:vAlign w:val="center"/>
          </w:tcPr>
          <w:p w14:paraId="77B10B17" w14:textId="77777777" w:rsidR="00D86314" w:rsidRDefault="00D86314" w:rsidP="002B3FAC">
            <w:pPr>
              <w:jc w:val="center"/>
              <w:rPr>
                <w:rFonts w:ascii="Arial" w:hAnsi="Arial" w:cs="Arial"/>
                <w:color w:val="000000"/>
              </w:rPr>
            </w:pPr>
            <w:r>
              <w:rPr>
                <w:rFonts w:ascii="Arial" w:hAnsi="Arial" w:cs="Arial"/>
                <w:color w:val="000000"/>
              </w:rPr>
              <w:t>0.99 (0.94-1.05</w:t>
            </w:r>
          </w:p>
        </w:tc>
        <w:tc>
          <w:tcPr>
            <w:tcW w:w="1479" w:type="dxa"/>
            <w:tcBorders>
              <w:top w:val="nil"/>
              <w:left w:val="nil"/>
              <w:bottom w:val="single" w:sz="8" w:space="0" w:color="000000"/>
              <w:right w:val="nil"/>
            </w:tcBorders>
            <w:shd w:val="clear" w:color="auto" w:fill="auto"/>
            <w:vAlign w:val="center"/>
          </w:tcPr>
          <w:p w14:paraId="5E037C1F" w14:textId="77777777" w:rsidR="00D86314" w:rsidRDefault="00D86314" w:rsidP="002B3FAC">
            <w:pPr>
              <w:jc w:val="center"/>
              <w:rPr>
                <w:rFonts w:ascii="Arial" w:hAnsi="Arial" w:cs="Arial"/>
                <w:color w:val="000000"/>
              </w:rPr>
            </w:pPr>
            <w:r>
              <w:rPr>
                <w:rFonts w:ascii="Arial" w:hAnsi="Arial" w:cs="Arial"/>
                <w:color w:val="000000"/>
              </w:rPr>
              <w:t>0.87</w:t>
            </w:r>
          </w:p>
        </w:tc>
      </w:tr>
      <w:tr w:rsidR="00D86314" w14:paraId="13B568D0" w14:textId="77777777" w:rsidTr="002B3FAC">
        <w:tc>
          <w:tcPr>
            <w:tcW w:w="1311" w:type="dxa"/>
            <w:tcBorders>
              <w:top w:val="nil"/>
              <w:left w:val="nil"/>
              <w:bottom w:val="single" w:sz="8" w:space="0" w:color="000000"/>
              <w:right w:val="nil"/>
            </w:tcBorders>
            <w:shd w:val="clear" w:color="auto" w:fill="auto"/>
            <w:vAlign w:val="center"/>
          </w:tcPr>
          <w:p w14:paraId="72D89BBB" w14:textId="77777777" w:rsidR="00D86314" w:rsidRDefault="00D86314" w:rsidP="002B3FAC">
            <w:pPr>
              <w:jc w:val="center"/>
              <w:rPr>
                <w:rFonts w:ascii="Arial" w:hAnsi="Arial" w:cs="Arial"/>
                <w:color w:val="000000"/>
              </w:rPr>
            </w:pPr>
            <w:r>
              <w:rPr>
                <w:rFonts w:ascii="Arial" w:hAnsi="Arial" w:cs="Arial"/>
                <w:color w:val="000000"/>
              </w:rPr>
              <w:t>van den Heuvel</w:t>
            </w:r>
          </w:p>
        </w:tc>
        <w:tc>
          <w:tcPr>
            <w:tcW w:w="750" w:type="dxa"/>
            <w:tcBorders>
              <w:top w:val="nil"/>
              <w:left w:val="nil"/>
              <w:bottom w:val="single" w:sz="8" w:space="0" w:color="000000"/>
              <w:right w:val="nil"/>
            </w:tcBorders>
            <w:shd w:val="clear" w:color="auto" w:fill="auto"/>
            <w:vAlign w:val="center"/>
          </w:tcPr>
          <w:p w14:paraId="7ADB57FB" w14:textId="77777777" w:rsidR="00D86314" w:rsidRDefault="00D86314" w:rsidP="002B3FAC">
            <w:pPr>
              <w:jc w:val="center"/>
              <w:rPr>
                <w:rFonts w:ascii="Arial" w:hAnsi="Arial" w:cs="Arial"/>
                <w:color w:val="000000"/>
              </w:rPr>
            </w:pPr>
            <w:r>
              <w:rPr>
                <w:rFonts w:ascii="Arial" w:hAnsi="Arial" w:cs="Arial"/>
                <w:color w:val="000000"/>
              </w:rPr>
              <w:t>2014</w:t>
            </w:r>
          </w:p>
        </w:tc>
        <w:tc>
          <w:tcPr>
            <w:tcW w:w="1350" w:type="dxa"/>
            <w:tcBorders>
              <w:top w:val="nil"/>
              <w:left w:val="nil"/>
              <w:bottom w:val="single" w:sz="8" w:space="0" w:color="000000"/>
              <w:right w:val="nil"/>
            </w:tcBorders>
            <w:shd w:val="clear" w:color="auto" w:fill="auto"/>
            <w:vAlign w:val="center"/>
          </w:tcPr>
          <w:p w14:paraId="4BCB2C8C" w14:textId="77777777" w:rsidR="00D86314" w:rsidRDefault="00D86314" w:rsidP="002B3FAC">
            <w:pPr>
              <w:jc w:val="center"/>
              <w:rPr>
                <w:rFonts w:ascii="Arial" w:hAnsi="Arial" w:cs="Arial"/>
                <w:color w:val="000000"/>
              </w:rPr>
            </w:pPr>
            <w:proofErr w:type="spellStart"/>
            <w:r>
              <w:rPr>
                <w:rFonts w:ascii="Arial" w:hAnsi="Arial" w:cs="Arial"/>
                <w:color w:val="000000"/>
              </w:rPr>
              <w:t>dp-ucMGP</w:t>
            </w:r>
            <w:proofErr w:type="spellEnd"/>
          </w:p>
        </w:tc>
        <w:tc>
          <w:tcPr>
            <w:tcW w:w="3261" w:type="dxa"/>
            <w:tcBorders>
              <w:top w:val="nil"/>
              <w:left w:val="nil"/>
              <w:bottom w:val="single" w:sz="8" w:space="0" w:color="000000"/>
              <w:right w:val="nil"/>
            </w:tcBorders>
            <w:shd w:val="clear" w:color="auto" w:fill="auto"/>
            <w:vAlign w:val="center"/>
          </w:tcPr>
          <w:p w14:paraId="4C78D425" w14:textId="77777777" w:rsidR="00D86314" w:rsidRDefault="00D86314" w:rsidP="002B3FAC">
            <w:pPr>
              <w:jc w:val="center"/>
              <w:rPr>
                <w:rFonts w:ascii="Arial" w:hAnsi="Arial" w:cs="Arial"/>
                <w:color w:val="000000"/>
              </w:rPr>
            </w:pPr>
            <w:r>
              <w:rPr>
                <w:rFonts w:ascii="Arial" w:hAnsi="Arial" w:cs="Arial"/>
                <w:color w:val="000000"/>
              </w:rPr>
              <w:t>HR for 100pm increase in log-transformed dpucMGP</w:t>
            </w:r>
          </w:p>
        </w:tc>
        <w:tc>
          <w:tcPr>
            <w:tcW w:w="3388" w:type="dxa"/>
            <w:tcBorders>
              <w:top w:val="nil"/>
              <w:left w:val="nil"/>
              <w:bottom w:val="single" w:sz="8" w:space="0" w:color="000000"/>
              <w:right w:val="single" w:sz="8" w:space="0" w:color="000000"/>
            </w:tcBorders>
            <w:shd w:val="clear" w:color="auto" w:fill="auto"/>
            <w:vAlign w:val="center"/>
          </w:tcPr>
          <w:p w14:paraId="526F6EC0" w14:textId="77777777" w:rsidR="00D86314" w:rsidRDefault="00D86314" w:rsidP="002B3FAC">
            <w:pPr>
              <w:jc w:val="center"/>
              <w:rPr>
                <w:rFonts w:ascii="Arial" w:hAnsi="Arial" w:cs="Arial"/>
                <w:color w:val="000000"/>
              </w:rPr>
            </w:pPr>
            <w:r>
              <w:rPr>
                <w:rFonts w:ascii="Arial" w:hAnsi="Arial" w:cs="Arial"/>
                <w:color w:val="000000"/>
              </w:rPr>
              <w:t>Fatal and non-fatal CVD</w:t>
            </w:r>
          </w:p>
        </w:tc>
        <w:tc>
          <w:tcPr>
            <w:tcW w:w="2409" w:type="dxa"/>
            <w:tcBorders>
              <w:top w:val="nil"/>
              <w:left w:val="nil"/>
              <w:bottom w:val="single" w:sz="8" w:space="0" w:color="000000"/>
              <w:right w:val="nil"/>
            </w:tcBorders>
            <w:shd w:val="clear" w:color="auto" w:fill="auto"/>
            <w:vAlign w:val="center"/>
          </w:tcPr>
          <w:p w14:paraId="17F89764" w14:textId="77777777" w:rsidR="00D86314" w:rsidRDefault="00D86314" w:rsidP="002B3FAC">
            <w:pPr>
              <w:jc w:val="center"/>
              <w:rPr>
                <w:rFonts w:ascii="Arial" w:hAnsi="Arial" w:cs="Arial"/>
                <w:color w:val="000000"/>
              </w:rPr>
            </w:pPr>
            <w:r>
              <w:rPr>
                <w:rFonts w:ascii="Arial" w:hAnsi="Arial" w:cs="Arial"/>
                <w:color w:val="000000"/>
              </w:rPr>
              <w:t>1.13 (1.02-1.24)</w:t>
            </w:r>
          </w:p>
        </w:tc>
        <w:tc>
          <w:tcPr>
            <w:tcW w:w="1479" w:type="dxa"/>
            <w:tcBorders>
              <w:top w:val="nil"/>
              <w:left w:val="nil"/>
              <w:bottom w:val="single" w:sz="8" w:space="0" w:color="000000"/>
              <w:right w:val="nil"/>
            </w:tcBorders>
            <w:shd w:val="clear" w:color="auto" w:fill="auto"/>
            <w:vAlign w:val="center"/>
          </w:tcPr>
          <w:p w14:paraId="36D4906D" w14:textId="77777777" w:rsidR="00D86314" w:rsidRDefault="00D86314" w:rsidP="002B3FAC">
            <w:pPr>
              <w:jc w:val="center"/>
              <w:rPr>
                <w:rFonts w:ascii="Arial" w:hAnsi="Arial" w:cs="Arial"/>
                <w:color w:val="000000"/>
              </w:rPr>
            </w:pPr>
            <w:r>
              <w:rPr>
                <w:rFonts w:ascii="Arial" w:hAnsi="Arial" w:cs="Arial"/>
                <w:color w:val="000000"/>
              </w:rPr>
              <w:t>Not reported</w:t>
            </w:r>
          </w:p>
        </w:tc>
      </w:tr>
      <w:tr w:rsidR="00D86314" w14:paraId="245101A8" w14:textId="77777777" w:rsidTr="002B3FAC">
        <w:tc>
          <w:tcPr>
            <w:tcW w:w="1311" w:type="dxa"/>
            <w:tcBorders>
              <w:top w:val="nil"/>
              <w:left w:val="nil"/>
              <w:bottom w:val="single" w:sz="8" w:space="0" w:color="000000"/>
              <w:right w:val="nil"/>
            </w:tcBorders>
            <w:shd w:val="clear" w:color="auto" w:fill="auto"/>
            <w:vAlign w:val="center"/>
          </w:tcPr>
          <w:p w14:paraId="3182A46B" w14:textId="77777777" w:rsidR="00D86314" w:rsidRDefault="00D86314" w:rsidP="002B3FAC">
            <w:pPr>
              <w:jc w:val="center"/>
              <w:rPr>
                <w:rFonts w:ascii="Arial" w:hAnsi="Arial" w:cs="Arial"/>
                <w:color w:val="000000"/>
              </w:rPr>
            </w:pPr>
            <w:proofErr w:type="spellStart"/>
            <w:r>
              <w:rPr>
                <w:rFonts w:ascii="Arial" w:hAnsi="Arial" w:cs="Arial"/>
                <w:color w:val="000000"/>
              </w:rPr>
              <w:t>Keyzer</w:t>
            </w:r>
            <w:proofErr w:type="spellEnd"/>
          </w:p>
        </w:tc>
        <w:tc>
          <w:tcPr>
            <w:tcW w:w="750" w:type="dxa"/>
            <w:tcBorders>
              <w:top w:val="nil"/>
              <w:left w:val="nil"/>
              <w:bottom w:val="single" w:sz="8" w:space="0" w:color="000000"/>
              <w:right w:val="nil"/>
            </w:tcBorders>
            <w:shd w:val="clear" w:color="auto" w:fill="auto"/>
            <w:vAlign w:val="center"/>
          </w:tcPr>
          <w:p w14:paraId="7BEA60D4" w14:textId="77777777" w:rsidR="00D86314" w:rsidRDefault="00D86314" w:rsidP="002B3FAC">
            <w:pPr>
              <w:jc w:val="center"/>
              <w:rPr>
                <w:rFonts w:ascii="Arial" w:hAnsi="Arial" w:cs="Arial"/>
                <w:color w:val="000000"/>
              </w:rPr>
            </w:pPr>
            <w:r>
              <w:rPr>
                <w:rFonts w:ascii="Arial" w:hAnsi="Arial" w:cs="Arial"/>
                <w:color w:val="000000"/>
              </w:rPr>
              <w:t>2015</w:t>
            </w:r>
          </w:p>
        </w:tc>
        <w:tc>
          <w:tcPr>
            <w:tcW w:w="1350" w:type="dxa"/>
            <w:tcBorders>
              <w:top w:val="nil"/>
              <w:left w:val="nil"/>
              <w:bottom w:val="single" w:sz="8" w:space="0" w:color="000000"/>
              <w:right w:val="nil"/>
            </w:tcBorders>
            <w:shd w:val="clear" w:color="auto" w:fill="auto"/>
            <w:vAlign w:val="center"/>
          </w:tcPr>
          <w:p w14:paraId="69919B8D" w14:textId="77777777" w:rsidR="00D86314" w:rsidRDefault="00D86314" w:rsidP="002B3FAC">
            <w:pPr>
              <w:jc w:val="center"/>
              <w:rPr>
                <w:rFonts w:ascii="Arial" w:hAnsi="Arial" w:cs="Arial"/>
                <w:color w:val="000000"/>
              </w:rPr>
            </w:pPr>
            <w:proofErr w:type="spellStart"/>
            <w:r>
              <w:rPr>
                <w:rFonts w:ascii="Arial" w:hAnsi="Arial" w:cs="Arial"/>
                <w:color w:val="000000"/>
              </w:rPr>
              <w:t>dp-ucMGP</w:t>
            </w:r>
            <w:proofErr w:type="spellEnd"/>
          </w:p>
        </w:tc>
        <w:tc>
          <w:tcPr>
            <w:tcW w:w="3261" w:type="dxa"/>
            <w:tcBorders>
              <w:top w:val="nil"/>
              <w:left w:val="nil"/>
              <w:bottom w:val="single" w:sz="8" w:space="0" w:color="000000"/>
              <w:right w:val="nil"/>
            </w:tcBorders>
            <w:shd w:val="clear" w:color="auto" w:fill="auto"/>
            <w:vAlign w:val="center"/>
          </w:tcPr>
          <w:p w14:paraId="120957DA" w14:textId="77777777" w:rsidR="00D86314" w:rsidRDefault="00D86314" w:rsidP="002B3FAC">
            <w:pPr>
              <w:jc w:val="center"/>
              <w:rPr>
                <w:rFonts w:ascii="Arial" w:hAnsi="Arial" w:cs="Arial"/>
                <w:color w:val="000000"/>
              </w:rPr>
            </w:pPr>
            <w:r>
              <w:rPr>
                <w:rFonts w:ascii="Arial" w:hAnsi="Arial" w:cs="Arial"/>
                <w:color w:val="000000"/>
              </w:rPr>
              <w:t xml:space="preserve">HR per increase in log transformed </w:t>
            </w:r>
            <w:proofErr w:type="spellStart"/>
            <w:r>
              <w:rPr>
                <w:rFonts w:ascii="Arial" w:hAnsi="Arial" w:cs="Arial"/>
                <w:color w:val="000000"/>
              </w:rPr>
              <w:t>dp-ucMGP</w:t>
            </w:r>
            <w:proofErr w:type="spellEnd"/>
          </w:p>
        </w:tc>
        <w:tc>
          <w:tcPr>
            <w:tcW w:w="3388" w:type="dxa"/>
            <w:tcBorders>
              <w:top w:val="nil"/>
              <w:left w:val="nil"/>
              <w:bottom w:val="single" w:sz="8" w:space="0" w:color="000000"/>
              <w:right w:val="single" w:sz="8" w:space="0" w:color="000000"/>
            </w:tcBorders>
            <w:shd w:val="clear" w:color="auto" w:fill="auto"/>
            <w:vAlign w:val="center"/>
          </w:tcPr>
          <w:p w14:paraId="0B7C01B1" w14:textId="77777777" w:rsidR="00D86314" w:rsidRDefault="00D86314" w:rsidP="002B3FAC">
            <w:pPr>
              <w:jc w:val="center"/>
              <w:rPr>
                <w:rFonts w:ascii="Arial" w:hAnsi="Arial" w:cs="Arial"/>
                <w:color w:val="000000"/>
              </w:rPr>
            </w:pPr>
            <w:r>
              <w:rPr>
                <w:rFonts w:ascii="Arial" w:hAnsi="Arial" w:cs="Arial"/>
                <w:color w:val="000000"/>
              </w:rPr>
              <w:t>Mortality</w:t>
            </w:r>
          </w:p>
        </w:tc>
        <w:tc>
          <w:tcPr>
            <w:tcW w:w="2409" w:type="dxa"/>
            <w:tcBorders>
              <w:top w:val="nil"/>
              <w:left w:val="nil"/>
              <w:bottom w:val="single" w:sz="8" w:space="0" w:color="000000"/>
              <w:right w:val="nil"/>
            </w:tcBorders>
            <w:shd w:val="clear" w:color="auto" w:fill="auto"/>
            <w:vAlign w:val="center"/>
          </w:tcPr>
          <w:p w14:paraId="2F599F52" w14:textId="77777777" w:rsidR="00D86314" w:rsidRDefault="00D86314" w:rsidP="002B3FAC">
            <w:pPr>
              <w:jc w:val="center"/>
              <w:rPr>
                <w:rFonts w:ascii="Arial" w:hAnsi="Arial" w:cs="Arial"/>
                <w:color w:val="000000"/>
              </w:rPr>
            </w:pPr>
            <w:r>
              <w:rPr>
                <w:rFonts w:ascii="Arial" w:hAnsi="Arial" w:cs="Arial"/>
                <w:color w:val="000000"/>
              </w:rPr>
              <w:t>1.65 (1.26-2.16)</w:t>
            </w:r>
          </w:p>
        </w:tc>
        <w:tc>
          <w:tcPr>
            <w:tcW w:w="1479" w:type="dxa"/>
            <w:tcBorders>
              <w:top w:val="nil"/>
              <w:left w:val="nil"/>
              <w:bottom w:val="single" w:sz="8" w:space="0" w:color="000000"/>
              <w:right w:val="nil"/>
            </w:tcBorders>
            <w:shd w:val="clear" w:color="auto" w:fill="auto"/>
            <w:vAlign w:val="center"/>
          </w:tcPr>
          <w:p w14:paraId="1C41D339" w14:textId="77777777" w:rsidR="00D86314" w:rsidRDefault="00D86314" w:rsidP="002B3FAC">
            <w:pPr>
              <w:jc w:val="center"/>
              <w:rPr>
                <w:rFonts w:ascii="Arial" w:hAnsi="Arial" w:cs="Arial"/>
                <w:color w:val="000000"/>
              </w:rPr>
            </w:pPr>
            <w:r>
              <w:rPr>
                <w:rFonts w:ascii="Arial" w:hAnsi="Arial" w:cs="Arial"/>
                <w:color w:val="000000"/>
              </w:rPr>
              <w:t>&lt;0.001</w:t>
            </w:r>
          </w:p>
        </w:tc>
      </w:tr>
      <w:tr w:rsidR="00D86314" w14:paraId="0E86AA29" w14:textId="77777777" w:rsidTr="002B3FAC">
        <w:tc>
          <w:tcPr>
            <w:tcW w:w="1311" w:type="dxa"/>
            <w:tcBorders>
              <w:top w:val="nil"/>
              <w:left w:val="nil"/>
              <w:bottom w:val="single" w:sz="8" w:space="0" w:color="000000"/>
              <w:right w:val="nil"/>
            </w:tcBorders>
            <w:shd w:val="clear" w:color="auto" w:fill="auto"/>
            <w:vAlign w:val="center"/>
          </w:tcPr>
          <w:p w14:paraId="52B95C9A" w14:textId="77777777" w:rsidR="00D86314" w:rsidRDefault="00D86314" w:rsidP="002B3FAC">
            <w:pPr>
              <w:jc w:val="center"/>
              <w:rPr>
                <w:rFonts w:ascii="Arial" w:hAnsi="Arial" w:cs="Arial"/>
                <w:color w:val="000000"/>
              </w:rPr>
            </w:pPr>
            <w:r>
              <w:rPr>
                <w:rFonts w:ascii="Arial" w:hAnsi="Arial" w:cs="Arial"/>
                <w:color w:val="000000"/>
              </w:rPr>
              <w:t>Danziger</w:t>
            </w:r>
          </w:p>
        </w:tc>
        <w:tc>
          <w:tcPr>
            <w:tcW w:w="750" w:type="dxa"/>
            <w:tcBorders>
              <w:top w:val="nil"/>
              <w:left w:val="nil"/>
              <w:bottom w:val="single" w:sz="8" w:space="0" w:color="000000"/>
              <w:right w:val="nil"/>
            </w:tcBorders>
            <w:shd w:val="clear" w:color="auto" w:fill="auto"/>
            <w:vAlign w:val="center"/>
          </w:tcPr>
          <w:p w14:paraId="2C22603B" w14:textId="77777777" w:rsidR="00D86314" w:rsidRDefault="00D86314" w:rsidP="002B3FAC">
            <w:pPr>
              <w:jc w:val="center"/>
              <w:rPr>
                <w:rFonts w:ascii="Arial" w:hAnsi="Arial" w:cs="Arial"/>
                <w:color w:val="000000"/>
              </w:rPr>
            </w:pPr>
            <w:r>
              <w:rPr>
                <w:rFonts w:ascii="Arial" w:hAnsi="Arial" w:cs="Arial"/>
                <w:color w:val="000000"/>
              </w:rPr>
              <w:t>2016</w:t>
            </w:r>
          </w:p>
        </w:tc>
        <w:tc>
          <w:tcPr>
            <w:tcW w:w="1350" w:type="dxa"/>
            <w:tcBorders>
              <w:top w:val="nil"/>
              <w:left w:val="nil"/>
              <w:bottom w:val="single" w:sz="8" w:space="0" w:color="000000"/>
              <w:right w:val="nil"/>
            </w:tcBorders>
            <w:shd w:val="clear" w:color="auto" w:fill="auto"/>
            <w:vAlign w:val="center"/>
          </w:tcPr>
          <w:p w14:paraId="3DD27A92" w14:textId="77777777" w:rsidR="00D86314" w:rsidRDefault="00D86314" w:rsidP="002B3FAC">
            <w:pPr>
              <w:jc w:val="center"/>
              <w:rPr>
                <w:rFonts w:ascii="Arial" w:hAnsi="Arial" w:cs="Arial"/>
                <w:color w:val="000000"/>
              </w:rPr>
            </w:pPr>
            <w:r>
              <w:rPr>
                <w:rFonts w:ascii="Arial" w:hAnsi="Arial" w:cs="Arial"/>
                <w:color w:val="000000"/>
              </w:rPr>
              <w:t>PIVKA-II</w:t>
            </w:r>
          </w:p>
        </w:tc>
        <w:tc>
          <w:tcPr>
            <w:tcW w:w="3261" w:type="dxa"/>
            <w:tcBorders>
              <w:top w:val="nil"/>
              <w:left w:val="nil"/>
              <w:bottom w:val="single" w:sz="8" w:space="0" w:color="000000"/>
              <w:right w:val="nil"/>
            </w:tcBorders>
            <w:shd w:val="clear" w:color="auto" w:fill="auto"/>
            <w:vAlign w:val="center"/>
          </w:tcPr>
          <w:p w14:paraId="4EB50349" w14:textId="77777777" w:rsidR="00D86314" w:rsidRDefault="00D86314" w:rsidP="002B3FAC">
            <w:pPr>
              <w:jc w:val="center"/>
              <w:rPr>
                <w:rFonts w:ascii="Arial" w:hAnsi="Arial" w:cs="Arial"/>
                <w:color w:val="000000"/>
              </w:rPr>
            </w:pPr>
            <w:r>
              <w:rPr>
                <w:rFonts w:ascii="Arial" w:hAnsi="Arial" w:cs="Arial"/>
                <w:color w:val="000000"/>
              </w:rPr>
              <w:t>HR per doubling of PIVKA-II</w:t>
            </w:r>
          </w:p>
        </w:tc>
        <w:tc>
          <w:tcPr>
            <w:tcW w:w="3388" w:type="dxa"/>
            <w:tcBorders>
              <w:top w:val="nil"/>
              <w:left w:val="nil"/>
              <w:bottom w:val="single" w:sz="8" w:space="0" w:color="000000"/>
              <w:right w:val="single" w:sz="8" w:space="0" w:color="000000"/>
            </w:tcBorders>
            <w:shd w:val="clear" w:color="auto" w:fill="auto"/>
            <w:vAlign w:val="center"/>
          </w:tcPr>
          <w:p w14:paraId="114BF5F8" w14:textId="77777777" w:rsidR="00D86314" w:rsidRDefault="00D86314" w:rsidP="002B3FAC">
            <w:pPr>
              <w:jc w:val="center"/>
              <w:rPr>
                <w:rFonts w:ascii="Arial" w:hAnsi="Arial" w:cs="Arial"/>
                <w:color w:val="000000"/>
              </w:rPr>
            </w:pPr>
            <w:r>
              <w:rPr>
                <w:rFonts w:ascii="Arial" w:hAnsi="Arial" w:cs="Arial"/>
                <w:color w:val="000000"/>
              </w:rPr>
              <w:t>CVD (coronary heart disease, stroke, fatal CV event)</w:t>
            </w:r>
          </w:p>
        </w:tc>
        <w:tc>
          <w:tcPr>
            <w:tcW w:w="2409" w:type="dxa"/>
            <w:tcBorders>
              <w:top w:val="nil"/>
              <w:left w:val="nil"/>
              <w:bottom w:val="single" w:sz="8" w:space="0" w:color="000000"/>
              <w:right w:val="nil"/>
            </w:tcBorders>
            <w:shd w:val="clear" w:color="auto" w:fill="auto"/>
            <w:vAlign w:val="center"/>
          </w:tcPr>
          <w:p w14:paraId="2A27D488" w14:textId="77777777" w:rsidR="00D86314" w:rsidRDefault="00D86314" w:rsidP="002B3FAC">
            <w:pPr>
              <w:jc w:val="center"/>
              <w:rPr>
                <w:rFonts w:ascii="Arial" w:hAnsi="Arial" w:cs="Arial"/>
                <w:color w:val="000000"/>
              </w:rPr>
            </w:pPr>
            <w:r>
              <w:rPr>
                <w:rFonts w:ascii="Arial" w:hAnsi="Arial" w:cs="Arial"/>
                <w:color w:val="000000"/>
              </w:rPr>
              <w:t>1.46 (1.08-1.97)</w:t>
            </w:r>
          </w:p>
        </w:tc>
        <w:tc>
          <w:tcPr>
            <w:tcW w:w="1479" w:type="dxa"/>
            <w:tcBorders>
              <w:top w:val="nil"/>
              <w:left w:val="nil"/>
              <w:bottom w:val="single" w:sz="8" w:space="0" w:color="000000"/>
              <w:right w:val="nil"/>
            </w:tcBorders>
            <w:shd w:val="clear" w:color="auto" w:fill="auto"/>
            <w:vAlign w:val="center"/>
          </w:tcPr>
          <w:p w14:paraId="55112A0A" w14:textId="77777777" w:rsidR="00D86314" w:rsidRDefault="00D86314" w:rsidP="002B3FAC">
            <w:pPr>
              <w:jc w:val="center"/>
              <w:rPr>
                <w:rFonts w:ascii="Arial" w:hAnsi="Arial" w:cs="Arial"/>
                <w:color w:val="000000"/>
              </w:rPr>
            </w:pPr>
            <w:r>
              <w:rPr>
                <w:rFonts w:ascii="Arial" w:hAnsi="Arial" w:cs="Arial"/>
                <w:color w:val="000000"/>
              </w:rPr>
              <w:t>0.047</w:t>
            </w:r>
          </w:p>
        </w:tc>
      </w:tr>
    </w:tbl>
    <w:p w14:paraId="5F3AA948" w14:textId="77777777" w:rsidR="00D86314" w:rsidRDefault="00D86314" w:rsidP="00D86314"/>
    <w:p w14:paraId="687D0672" w14:textId="77777777" w:rsidR="00D86314" w:rsidRDefault="00D86314" w:rsidP="00D86314"/>
    <w:p w14:paraId="1F6D34B5" w14:textId="77777777" w:rsidR="00D86314" w:rsidRPr="00685292" w:rsidRDefault="00D86314" w:rsidP="00D86314"/>
    <w:p w14:paraId="6D6F1D36" w14:textId="77777777" w:rsidR="00A342D8" w:rsidRDefault="00A342D8">
      <w:pPr>
        <w:rPr>
          <w:rFonts w:ascii="Arial" w:eastAsiaTheme="majorEastAsia" w:hAnsi="Arial" w:cs="Arial"/>
          <w:b/>
          <w:sz w:val="24"/>
          <w:szCs w:val="24"/>
        </w:rPr>
      </w:pPr>
      <w:r>
        <w:br w:type="page"/>
      </w:r>
    </w:p>
    <w:p w14:paraId="213C7F28" w14:textId="17DB53C7" w:rsidR="00FA4C84" w:rsidRDefault="00FA4C84" w:rsidP="00FA4C84">
      <w:pPr>
        <w:pStyle w:val="Heading2"/>
      </w:pPr>
      <w:r>
        <w:lastRenderedPageBreak/>
        <w:t xml:space="preserve">Supplemental Table </w:t>
      </w:r>
      <w:r w:rsidR="00F25D32">
        <w:t>S</w:t>
      </w:r>
      <w:r w:rsidR="001D0741">
        <w:t>5</w:t>
      </w:r>
    </w:p>
    <w:p w14:paraId="28E6D396" w14:textId="77777777" w:rsidR="00FA4C84" w:rsidRPr="00FA4C84" w:rsidRDefault="00FA4C84" w:rsidP="00FA4C84"/>
    <w:p w14:paraId="3A4FE1DB" w14:textId="77777777" w:rsidR="004212A5" w:rsidRPr="004212A5" w:rsidRDefault="00FA4C84" w:rsidP="004212A5">
      <w:pPr>
        <w:spacing w:line="480" w:lineRule="auto"/>
        <w:rPr>
          <w:rFonts w:ascii="Arial" w:hAnsi="Arial" w:cs="Arial"/>
          <w:sz w:val="24"/>
          <w:szCs w:val="24"/>
        </w:rPr>
      </w:pPr>
      <w:r w:rsidRPr="00125D33">
        <w:rPr>
          <w:rFonts w:ascii="Arial" w:hAnsi="Arial" w:cs="Arial"/>
          <w:sz w:val="24"/>
          <w:szCs w:val="24"/>
        </w:rPr>
        <w:t>Ongoing studies of vitamin K supplementation on vascular health (stiffness or calcification)</w:t>
      </w:r>
    </w:p>
    <w:tbl>
      <w:tblPr>
        <w:tblStyle w:val="TableGrid"/>
        <w:tblpPr w:leftFromText="180" w:rightFromText="180" w:vertAnchor="text" w:horzAnchor="margin" w:tblpY="503"/>
        <w:tblW w:w="14356" w:type="dxa"/>
        <w:tblLook w:val="04A0" w:firstRow="1" w:lastRow="0" w:firstColumn="1" w:lastColumn="0" w:noHBand="0" w:noVBand="1"/>
      </w:tblPr>
      <w:tblGrid>
        <w:gridCol w:w="2425"/>
        <w:gridCol w:w="2470"/>
        <w:gridCol w:w="2121"/>
        <w:gridCol w:w="2114"/>
        <w:gridCol w:w="5226"/>
      </w:tblGrid>
      <w:tr w:rsidR="004212A5" w:rsidRPr="00125D33" w14:paraId="31716F08" w14:textId="77777777" w:rsidTr="00587723">
        <w:trPr>
          <w:trHeight w:val="112"/>
        </w:trPr>
        <w:tc>
          <w:tcPr>
            <w:tcW w:w="2425" w:type="dxa"/>
          </w:tcPr>
          <w:p w14:paraId="25986986" w14:textId="77777777" w:rsidR="004212A5" w:rsidRPr="004212A5" w:rsidRDefault="004212A5" w:rsidP="00587723">
            <w:pPr>
              <w:spacing w:line="360" w:lineRule="auto"/>
              <w:rPr>
                <w:rFonts w:ascii="Arial" w:hAnsi="Arial" w:cs="Arial"/>
                <w:b/>
                <w:sz w:val="20"/>
                <w:szCs w:val="20"/>
              </w:rPr>
            </w:pPr>
            <w:r w:rsidRPr="004212A5">
              <w:rPr>
                <w:rFonts w:ascii="Arial" w:hAnsi="Arial" w:cs="Arial"/>
                <w:b/>
                <w:sz w:val="20"/>
                <w:szCs w:val="20"/>
              </w:rPr>
              <w:t>Trial identifier</w:t>
            </w:r>
          </w:p>
        </w:tc>
        <w:tc>
          <w:tcPr>
            <w:tcW w:w="2470" w:type="dxa"/>
          </w:tcPr>
          <w:p w14:paraId="631500C9" w14:textId="77777777" w:rsidR="004212A5" w:rsidRPr="004212A5" w:rsidRDefault="004212A5" w:rsidP="00587723">
            <w:pPr>
              <w:spacing w:line="360" w:lineRule="auto"/>
              <w:rPr>
                <w:rFonts w:ascii="Arial" w:hAnsi="Arial" w:cs="Arial"/>
                <w:b/>
                <w:sz w:val="20"/>
                <w:szCs w:val="20"/>
              </w:rPr>
            </w:pPr>
            <w:r w:rsidRPr="004212A5">
              <w:rPr>
                <w:rFonts w:ascii="Arial" w:hAnsi="Arial" w:cs="Arial"/>
                <w:b/>
                <w:sz w:val="20"/>
                <w:szCs w:val="20"/>
              </w:rPr>
              <w:t>Source of identifier</w:t>
            </w:r>
          </w:p>
        </w:tc>
        <w:tc>
          <w:tcPr>
            <w:tcW w:w="2121" w:type="dxa"/>
          </w:tcPr>
          <w:p w14:paraId="37CC0752" w14:textId="77777777" w:rsidR="004212A5" w:rsidRPr="004212A5" w:rsidRDefault="004212A5" w:rsidP="00587723">
            <w:pPr>
              <w:spacing w:line="360" w:lineRule="auto"/>
              <w:rPr>
                <w:rFonts w:ascii="Arial" w:hAnsi="Arial" w:cs="Arial"/>
                <w:b/>
                <w:sz w:val="20"/>
                <w:szCs w:val="20"/>
              </w:rPr>
            </w:pPr>
            <w:r w:rsidRPr="004212A5">
              <w:rPr>
                <w:rFonts w:ascii="Arial" w:hAnsi="Arial" w:cs="Arial"/>
                <w:b/>
                <w:sz w:val="20"/>
                <w:szCs w:val="20"/>
              </w:rPr>
              <w:t>Population</w:t>
            </w:r>
          </w:p>
        </w:tc>
        <w:tc>
          <w:tcPr>
            <w:tcW w:w="2114" w:type="dxa"/>
          </w:tcPr>
          <w:p w14:paraId="2941A8A3" w14:textId="77777777" w:rsidR="004212A5" w:rsidRPr="004212A5" w:rsidRDefault="004212A5" w:rsidP="00587723">
            <w:pPr>
              <w:spacing w:line="360" w:lineRule="auto"/>
              <w:rPr>
                <w:rFonts w:ascii="Arial" w:hAnsi="Arial" w:cs="Arial"/>
                <w:b/>
                <w:sz w:val="20"/>
                <w:szCs w:val="20"/>
              </w:rPr>
            </w:pPr>
            <w:r w:rsidRPr="004212A5">
              <w:rPr>
                <w:rFonts w:ascii="Arial" w:hAnsi="Arial" w:cs="Arial"/>
                <w:b/>
                <w:sz w:val="20"/>
                <w:szCs w:val="20"/>
              </w:rPr>
              <w:t>VK dose and formulation</w:t>
            </w:r>
          </w:p>
        </w:tc>
        <w:tc>
          <w:tcPr>
            <w:tcW w:w="5226" w:type="dxa"/>
          </w:tcPr>
          <w:p w14:paraId="56EF3281" w14:textId="77777777" w:rsidR="004212A5" w:rsidRPr="004212A5" w:rsidRDefault="004212A5" w:rsidP="00587723">
            <w:pPr>
              <w:spacing w:line="360" w:lineRule="auto"/>
              <w:rPr>
                <w:rFonts w:ascii="Arial" w:hAnsi="Arial" w:cs="Arial"/>
                <w:b/>
                <w:sz w:val="20"/>
                <w:szCs w:val="20"/>
              </w:rPr>
            </w:pPr>
            <w:r w:rsidRPr="004212A5">
              <w:rPr>
                <w:rFonts w:ascii="Arial" w:hAnsi="Arial" w:cs="Arial"/>
                <w:b/>
                <w:sz w:val="20"/>
                <w:szCs w:val="20"/>
              </w:rPr>
              <w:t>Primary endpoint</w:t>
            </w:r>
          </w:p>
        </w:tc>
      </w:tr>
      <w:tr w:rsidR="004212A5" w:rsidRPr="00125D33" w14:paraId="63A29FDA" w14:textId="77777777" w:rsidTr="00587723">
        <w:trPr>
          <w:trHeight w:val="112"/>
        </w:trPr>
        <w:tc>
          <w:tcPr>
            <w:tcW w:w="2425" w:type="dxa"/>
          </w:tcPr>
          <w:p w14:paraId="67BD5C85"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NCT01742273</w:t>
            </w:r>
          </w:p>
        </w:tc>
        <w:tc>
          <w:tcPr>
            <w:tcW w:w="2470" w:type="dxa"/>
          </w:tcPr>
          <w:p w14:paraId="6693599E"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Clinicaltrials.gov</w:t>
            </w:r>
          </w:p>
        </w:tc>
        <w:tc>
          <w:tcPr>
            <w:tcW w:w="2121" w:type="dxa"/>
          </w:tcPr>
          <w:p w14:paraId="3DE1F38A"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Haemodialysis</w:t>
            </w:r>
          </w:p>
        </w:tc>
        <w:tc>
          <w:tcPr>
            <w:tcW w:w="2114" w:type="dxa"/>
          </w:tcPr>
          <w:p w14:paraId="2048D99D"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K1 5mg 3x/</w:t>
            </w:r>
            <w:proofErr w:type="spellStart"/>
            <w:r w:rsidRPr="004212A5">
              <w:rPr>
                <w:rFonts w:ascii="Arial" w:hAnsi="Arial" w:cs="Arial"/>
                <w:sz w:val="20"/>
                <w:szCs w:val="20"/>
              </w:rPr>
              <w:t>wk</w:t>
            </w:r>
            <w:proofErr w:type="spellEnd"/>
          </w:p>
        </w:tc>
        <w:tc>
          <w:tcPr>
            <w:tcW w:w="5226" w:type="dxa"/>
          </w:tcPr>
          <w:p w14:paraId="25D125C4"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Progression of thoracic aorta and coronary calcification</w:t>
            </w:r>
          </w:p>
        </w:tc>
      </w:tr>
      <w:tr w:rsidR="004212A5" w:rsidRPr="00125D33" w14:paraId="4CDBCE84" w14:textId="77777777" w:rsidTr="00587723">
        <w:trPr>
          <w:trHeight w:val="112"/>
        </w:trPr>
        <w:tc>
          <w:tcPr>
            <w:tcW w:w="2425" w:type="dxa"/>
          </w:tcPr>
          <w:p w14:paraId="70DB4B41"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NCT01528800</w:t>
            </w:r>
          </w:p>
        </w:tc>
        <w:tc>
          <w:tcPr>
            <w:tcW w:w="2470" w:type="dxa"/>
          </w:tcPr>
          <w:p w14:paraId="27E2ED62"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Clinicaltrials.gov</w:t>
            </w:r>
          </w:p>
        </w:tc>
        <w:tc>
          <w:tcPr>
            <w:tcW w:w="2121" w:type="dxa"/>
          </w:tcPr>
          <w:p w14:paraId="47B98A50"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Haemodialysis</w:t>
            </w:r>
          </w:p>
        </w:tc>
        <w:tc>
          <w:tcPr>
            <w:tcW w:w="2114" w:type="dxa"/>
          </w:tcPr>
          <w:p w14:paraId="33FC045E"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K1 10mg 3x/</w:t>
            </w:r>
            <w:proofErr w:type="spellStart"/>
            <w:r w:rsidRPr="004212A5">
              <w:rPr>
                <w:rFonts w:ascii="Arial" w:hAnsi="Arial" w:cs="Arial"/>
                <w:sz w:val="20"/>
                <w:szCs w:val="20"/>
              </w:rPr>
              <w:t>wk</w:t>
            </w:r>
            <w:proofErr w:type="spellEnd"/>
          </w:p>
        </w:tc>
        <w:tc>
          <w:tcPr>
            <w:tcW w:w="5226" w:type="dxa"/>
          </w:tcPr>
          <w:p w14:paraId="664053CD"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Progression of coronary artery calcification, cardiovascular events</w:t>
            </w:r>
          </w:p>
        </w:tc>
      </w:tr>
      <w:tr w:rsidR="004212A5" w:rsidRPr="00125D33" w14:paraId="4A598CD8" w14:textId="77777777" w:rsidTr="00587723">
        <w:trPr>
          <w:trHeight w:val="584"/>
        </w:trPr>
        <w:tc>
          <w:tcPr>
            <w:tcW w:w="2425" w:type="dxa"/>
          </w:tcPr>
          <w:p w14:paraId="278E7F23"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NCT01002157</w:t>
            </w:r>
          </w:p>
        </w:tc>
        <w:tc>
          <w:tcPr>
            <w:tcW w:w="2470" w:type="dxa"/>
          </w:tcPr>
          <w:p w14:paraId="20B02BBF"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Clinicaltrials.gov</w:t>
            </w:r>
          </w:p>
        </w:tc>
        <w:tc>
          <w:tcPr>
            <w:tcW w:w="2121" w:type="dxa"/>
          </w:tcPr>
          <w:p w14:paraId="218B038C"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Coronary artery calcification</w:t>
            </w:r>
          </w:p>
        </w:tc>
        <w:tc>
          <w:tcPr>
            <w:tcW w:w="2114" w:type="dxa"/>
          </w:tcPr>
          <w:p w14:paraId="6D13DE6F"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K2 (MK7) dose unknown</w:t>
            </w:r>
          </w:p>
        </w:tc>
        <w:tc>
          <w:tcPr>
            <w:tcW w:w="5226" w:type="dxa"/>
          </w:tcPr>
          <w:p w14:paraId="2E493A97"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Progression of coronary calcification</w:t>
            </w:r>
          </w:p>
        </w:tc>
      </w:tr>
      <w:tr w:rsidR="004212A5" w:rsidRPr="00125D33" w14:paraId="1785E5F1" w14:textId="77777777" w:rsidTr="00587723">
        <w:trPr>
          <w:trHeight w:val="860"/>
        </w:trPr>
        <w:tc>
          <w:tcPr>
            <w:tcW w:w="2425" w:type="dxa"/>
          </w:tcPr>
          <w:p w14:paraId="687D1A13"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NCT01922804</w:t>
            </w:r>
          </w:p>
        </w:tc>
        <w:tc>
          <w:tcPr>
            <w:tcW w:w="2470" w:type="dxa"/>
          </w:tcPr>
          <w:p w14:paraId="225E426A"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Clinicaltrials.gov</w:t>
            </w:r>
          </w:p>
        </w:tc>
        <w:tc>
          <w:tcPr>
            <w:tcW w:w="2121" w:type="dxa"/>
          </w:tcPr>
          <w:p w14:paraId="1526AB7C"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 xml:space="preserve">Postmenopausal women with </w:t>
            </w:r>
            <w:proofErr w:type="spellStart"/>
            <w:r w:rsidRPr="004212A5">
              <w:rPr>
                <w:rFonts w:ascii="Arial" w:hAnsi="Arial" w:cs="Arial"/>
                <w:sz w:val="20"/>
                <w:szCs w:val="20"/>
              </w:rPr>
              <w:t>osteopaenia</w:t>
            </w:r>
            <w:proofErr w:type="spellEnd"/>
          </w:p>
        </w:tc>
        <w:tc>
          <w:tcPr>
            <w:tcW w:w="2114" w:type="dxa"/>
          </w:tcPr>
          <w:p w14:paraId="078D78C3"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K2 (MK7) 375 micrograms daily</w:t>
            </w:r>
          </w:p>
        </w:tc>
        <w:tc>
          <w:tcPr>
            <w:tcW w:w="5226" w:type="dxa"/>
          </w:tcPr>
          <w:p w14:paraId="595E739B"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Change in bone mineral density, insulin sensitivity, arterial stiffness</w:t>
            </w:r>
          </w:p>
        </w:tc>
      </w:tr>
      <w:tr w:rsidR="004212A5" w:rsidRPr="00125D33" w14:paraId="185E655A" w14:textId="77777777" w:rsidTr="00587723">
        <w:trPr>
          <w:trHeight w:val="860"/>
        </w:trPr>
        <w:tc>
          <w:tcPr>
            <w:tcW w:w="2425" w:type="dxa"/>
          </w:tcPr>
          <w:p w14:paraId="06D2FFDB"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NCT02404519</w:t>
            </w:r>
          </w:p>
        </w:tc>
        <w:tc>
          <w:tcPr>
            <w:tcW w:w="2470" w:type="dxa"/>
          </w:tcPr>
          <w:p w14:paraId="67AE3BF7"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Clinicaltrials.gov</w:t>
            </w:r>
          </w:p>
        </w:tc>
        <w:tc>
          <w:tcPr>
            <w:tcW w:w="2121" w:type="dxa"/>
          </w:tcPr>
          <w:p w14:paraId="223F508B"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Functional vitamin K deficiency</w:t>
            </w:r>
          </w:p>
        </w:tc>
        <w:tc>
          <w:tcPr>
            <w:tcW w:w="2114" w:type="dxa"/>
          </w:tcPr>
          <w:p w14:paraId="7201A7DB"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K2 (MK7) 180 micrograms daily</w:t>
            </w:r>
          </w:p>
        </w:tc>
        <w:tc>
          <w:tcPr>
            <w:tcW w:w="5226" w:type="dxa"/>
          </w:tcPr>
          <w:p w14:paraId="449161B6"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Change in arterial stiffness</w:t>
            </w:r>
          </w:p>
        </w:tc>
      </w:tr>
      <w:tr w:rsidR="004212A5" w:rsidRPr="00125D33" w14:paraId="1C3A8DC0" w14:textId="77777777" w:rsidTr="00587723">
        <w:trPr>
          <w:trHeight w:val="985"/>
        </w:trPr>
        <w:tc>
          <w:tcPr>
            <w:tcW w:w="2425" w:type="dxa"/>
          </w:tcPr>
          <w:p w14:paraId="7862E630"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NCT02610933</w:t>
            </w:r>
          </w:p>
        </w:tc>
        <w:tc>
          <w:tcPr>
            <w:tcW w:w="2470" w:type="dxa"/>
          </w:tcPr>
          <w:p w14:paraId="0525BDFF"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Clinicaltrials.gov</w:t>
            </w:r>
          </w:p>
        </w:tc>
        <w:tc>
          <w:tcPr>
            <w:tcW w:w="2121" w:type="dxa"/>
          </w:tcPr>
          <w:p w14:paraId="13F68B2C"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Haemodialysis patients with atrial fibrillation</w:t>
            </w:r>
          </w:p>
        </w:tc>
        <w:tc>
          <w:tcPr>
            <w:tcW w:w="2114" w:type="dxa"/>
          </w:tcPr>
          <w:p w14:paraId="7445DEEA"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K2 (MK7) 2000 micrograms 3x/</w:t>
            </w:r>
            <w:proofErr w:type="spellStart"/>
            <w:r w:rsidRPr="004212A5">
              <w:rPr>
                <w:rFonts w:ascii="Arial" w:hAnsi="Arial" w:cs="Arial"/>
                <w:sz w:val="20"/>
                <w:szCs w:val="20"/>
              </w:rPr>
              <w:t>wk</w:t>
            </w:r>
            <w:proofErr w:type="spellEnd"/>
          </w:p>
        </w:tc>
        <w:tc>
          <w:tcPr>
            <w:tcW w:w="5226" w:type="dxa"/>
          </w:tcPr>
          <w:p w14:paraId="37859F3C"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Progression of thoracic aorta and coronary artery calcification, progression of arterial stiffness</w:t>
            </w:r>
          </w:p>
        </w:tc>
      </w:tr>
      <w:tr w:rsidR="004212A5" w:rsidRPr="00125D33" w14:paraId="13EE779A" w14:textId="77777777" w:rsidTr="00587723">
        <w:trPr>
          <w:trHeight w:val="612"/>
        </w:trPr>
        <w:tc>
          <w:tcPr>
            <w:tcW w:w="2425" w:type="dxa"/>
          </w:tcPr>
          <w:p w14:paraId="0D5CC722"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ISRCTN21444964</w:t>
            </w:r>
          </w:p>
        </w:tc>
        <w:tc>
          <w:tcPr>
            <w:tcW w:w="2470" w:type="dxa"/>
          </w:tcPr>
          <w:p w14:paraId="3B5028A9"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ISRCTN</w:t>
            </w:r>
          </w:p>
        </w:tc>
        <w:tc>
          <w:tcPr>
            <w:tcW w:w="2121" w:type="dxa"/>
          </w:tcPr>
          <w:p w14:paraId="0D34B5E9"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Chronic kidney disease 3b/4</w:t>
            </w:r>
          </w:p>
        </w:tc>
        <w:tc>
          <w:tcPr>
            <w:tcW w:w="2114" w:type="dxa"/>
          </w:tcPr>
          <w:p w14:paraId="3A336F4E"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K2 (MK7) 400 micrograms daily</w:t>
            </w:r>
          </w:p>
        </w:tc>
        <w:tc>
          <w:tcPr>
            <w:tcW w:w="5226" w:type="dxa"/>
          </w:tcPr>
          <w:p w14:paraId="6241DDFF" w14:textId="77777777" w:rsidR="004212A5" w:rsidRPr="004212A5" w:rsidRDefault="004212A5" w:rsidP="00587723">
            <w:pPr>
              <w:spacing w:line="360" w:lineRule="auto"/>
              <w:rPr>
                <w:rFonts w:ascii="Arial" w:hAnsi="Arial" w:cs="Arial"/>
                <w:sz w:val="20"/>
                <w:szCs w:val="20"/>
              </w:rPr>
            </w:pPr>
            <w:r w:rsidRPr="004212A5">
              <w:rPr>
                <w:rFonts w:ascii="Arial" w:hAnsi="Arial" w:cs="Arial"/>
                <w:sz w:val="20"/>
                <w:szCs w:val="20"/>
              </w:rPr>
              <w:t>Vascular stiffness</w:t>
            </w:r>
          </w:p>
        </w:tc>
      </w:tr>
    </w:tbl>
    <w:p w14:paraId="3E6EFB01" w14:textId="77777777" w:rsidR="00D86314" w:rsidRDefault="00D86314" w:rsidP="00FA4C84">
      <w:pPr>
        <w:spacing w:line="480" w:lineRule="auto"/>
        <w:rPr>
          <w:rFonts w:ascii="Arial" w:hAnsi="Arial" w:cs="Arial"/>
          <w:sz w:val="24"/>
          <w:szCs w:val="24"/>
        </w:rPr>
      </w:pPr>
    </w:p>
    <w:p w14:paraId="42A027B6" w14:textId="77777777" w:rsidR="004212A5" w:rsidRPr="00125D33" w:rsidRDefault="004212A5" w:rsidP="00FA4C84">
      <w:pPr>
        <w:spacing w:line="480" w:lineRule="auto"/>
        <w:rPr>
          <w:rFonts w:ascii="Arial" w:hAnsi="Arial" w:cs="Arial"/>
          <w:sz w:val="24"/>
          <w:szCs w:val="24"/>
        </w:rPr>
      </w:pPr>
    </w:p>
    <w:p w14:paraId="5967DC1E" w14:textId="30961320" w:rsidR="009B1EA2" w:rsidRDefault="009B1EA2" w:rsidP="009B1EA2">
      <w:pPr>
        <w:pStyle w:val="Heading2"/>
      </w:pPr>
      <w:r w:rsidRPr="00125D33">
        <w:lastRenderedPageBreak/>
        <w:t xml:space="preserve">Supplemental Figure </w:t>
      </w:r>
      <w:r>
        <w:t>S1</w:t>
      </w:r>
    </w:p>
    <w:p w14:paraId="00745B98" w14:textId="77777777" w:rsidR="009B1EA2" w:rsidRPr="009E3377" w:rsidRDefault="009B1EA2" w:rsidP="009B1EA2"/>
    <w:p w14:paraId="0AEA90E4" w14:textId="1A39D601" w:rsidR="009B1EA2" w:rsidRPr="00456893" w:rsidRDefault="009B1EA2" w:rsidP="009B1EA2">
      <w:pPr>
        <w:rPr>
          <w:rFonts w:ascii="Arial" w:hAnsi="Arial" w:cs="Arial"/>
          <w:sz w:val="24"/>
          <w:szCs w:val="24"/>
        </w:rPr>
      </w:pPr>
      <w:r w:rsidRPr="00456893">
        <w:rPr>
          <w:rFonts w:ascii="Arial" w:hAnsi="Arial" w:cs="Arial"/>
          <w:sz w:val="24"/>
          <w:szCs w:val="24"/>
        </w:rPr>
        <w:t xml:space="preserve">Search strategy for identification of vitamin K </w:t>
      </w:r>
      <w:r w:rsidR="00500816">
        <w:rPr>
          <w:rFonts w:ascii="Arial" w:hAnsi="Arial" w:cs="Arial"/>
          <w:sz w:val="24"/>
          <w:szCs w:val="24"/>
        </w:rPr>
        <w:t>clinical trials</w:t>
      </w:r>
    </w:p>
    <w:p w14:paraId="63C536EC" w14:textId="77777777" w:rsidR="009B1EA2" w:rsidRPr="00125D33" w:rsidRDefault="009B1EA2" w:rsidP="009B1EA2">
      <w:pPr>
        <w:rPr>
          <w:rFonts w:ascii="Arial" w:hAnsi="Arial" w:cs="Arial"/>
        </w:rPr>
      </w:pPr>
    </w:p>
    <w:p w14:paraId="1FD8D4A4" w14:textId="77777777" w:rsidR="009B1EA2" w:rsidRPr="00125D33" w:rsidRDefault="009B1EA2" w:rsidP="009B1EA2">
      <w:pPr>
        <w:jc w:val="center"/>
        <w:rPr>
          <w:rFonts w:ascii="Arial" w:hAnsi="Arial" w:cs="Arial"/>
          <w:color w:val="000000"/>
          <w:sz w:val="24"/>
          <w:szCs w:val="24"/>
          <w:shd w:val="clear" w:color="auto" w:fill="FFFFFF"/>
        </w:rPr>
      </w:pPr>
      <w:r w:rsidRPr="00125D33">
        <w:rPr>
          <w:rFonts w:ascii="Arial" w:hAnsi="Arial" w:cs="Arial"/>
          <w:color w:val="000000"/>
          <w:sz w:val="24"/>
          <w:szCs w:val="24"/>
          <w:shd w:val="clear" w:color="auto" w:fill="FFFFFF"/>
        </w:rPr>
        <w:t xml:space="preserve">(vitamin K OR menadiol OR menadione OR menaquinone OR menatetrenone OR phytonadione OR </w:t>
      </w:r>
      <w:proofErr w:type="spellStart"/>
      <w:r w:rsidRPr="00125D33">
        <w:rPr>
          <w:rFonts w:ascii="Arial" w:hAnsi="Arial" w:cs="Arial"/>
          <w:color w:val="000000"/>
          <w:sz w:val="24"/>
          <w:szCs w:val="24"/>
          <w:shd w:val="clear" w:color="auto" w:fill="FFFFFF"/>
        </w:rPr>
        <w:t>methylphytyl</w:t>
      </w:r>
      <w:proofErr w:type="spellEnd"/>
      <w:r w:rsidRPr="00125D33">
        <w:rPr>
          <w:rFonts w:ascii="Arial" w:hAnsi="Arial" w:cs="Arial"/>
          <w:color w:val="000000"/>
          <w:sz w:val="24"/>
          <w:szCs w:val="24"/>
          <w:shd w:val="clear" w:color="auto" w:fill="FFFFFF"/>
        </w:rPr>
        <w:t xml:space="preserve"> OR phylloquinone OR </w:t>
      </w:r>
      <w:proofErr w:type="spellStart"/>
      <w:r w:rsidRPr="00125D33">
        <w:rPr>
          <w:rFonts w:ascii="Arial" w:hAnsi="Arial" w:cs="Arial"/>
          <w:color w:val="000000"/>
          <w:sz w:val="24"/>
          <w:szCs w:val="24"/>
          <w:shd w:val="clear" w:color="auto" w:fill="FFFFFF"/>
        </w:rPr>
        <w:t>phytomenadione</w:t>
      </w:r>
      <w:proofErr w:type="spellEnd"/>
      <w:r w:rsidRPr="00125D33">
        <w:rPr>
          <w:rFonts w:ascii="Arial" w:hAnsi="Arial" w:cs="Arial"/>
          <w:color w:val="000000"/>
          <w:sz w:val="24"/>
          <w:szCs w:val="24"/>
          <w:shd w:val="clear" w:color="auto" w:fill="FFFFFF"/>
        </w:rPr>
        <w:t>)</w:t>
      </w:r>
    </w:p>
    <w:p w14:paraId="5C624BBA" w14:textId="77777777" w:rsidR="009B1EA2" w:rsidRPr="00125D33" w:rsidRDefault="009B1EA2" w:rsidP="009B1EA2">
      <w:pPr>
        <w:jc w:val="center"/>
        <w:rPr>
          <w:rFonts w:ascii="Arial" w:hAnsi="Arial" w:cs="Arial"/>
          <w:color w:val="000000"/>
          <w:sz w:val="24"/>
          <w:szCs w:val="24"/>
          <w:shd w:val="clear" w:color="auto" w:fill="FFFFFF"/>
        </w:rPr>
      </w:pPr>
      <w:r w:rsidRPr="00125D33">
        <w:rPr>
          <w:rFonts w:ascii="Arial" w:hAnsi="Arial" w:cs="Arial"/>
          <w:color w:val="000000"/>
          <w:sz w:val="24"/>
          <w:szCs w:val="24"/>
          <w:shd w:val="clear" w:color="auto" w:fill="FFFFFF"/>
        </w:rPr>
        <w:t>AND</w:t>
      </w:r>
    </w:p>
    <w:p w14:paraId="42000898" w14:textId="77777777" w:rsidR="009B1EA2" w:rsidRPr="00125D33" w:rsidRDefault="009B1EA2" w:rsidP="009B1EA2">
      <w:pPr>
        <w:jc w:val="center"/>
        <w:rPr>
          <w:rFonts w:ascii="Arial" w:hAnsi="Arial" w:cs="Arial"/>
          <w:color w:val="000000"/>
          <w:sz w:val="24"/>
          <w:szCs w:val="24"/>
          <w:shd w:val="clear" w:color="auto" w:fill="FFFFFF"/>
        </w:rPr>
      </w:pPr>
      <w:r w:rsidRPr="00125D33">
        <w:rPr>
          <w:rFonts w:ascii="Arial" w:hAnsi="Arial" w:cs="Arial"/>
          <w:color w:val="000000"/>
          <w:sz w:val="24"/>
          <w:szCs w:val="24"/>
          <w:shd w:val="clear" w:color="auto" w:fill="FFFFFF"/>
        </w:rPr>
        <w:t>(cardiovascular OR cardiac OR coronary OR vascular OR vessel OR artery OR arterial OR aorta OR stiffness OR distensibility OR calcification)</w:t>
      </w:r>
    </w:p>
    <w:p w14:paraId="165689E3" w14:textId="77777777" w:rsidR="009B1EA2" w:rsidRDefault="009B1EA2" w:rsidP="009B1EA2">
      <w:pPr>
        <w:spacing w:line="480" w:lineRule="auto"/>
        <w:rPr>
          <w:rFonts w:ascii="Arial" w:hAnsi="Arial" w:cs="Arial"/>
          <w:sz w:val="24"/>
          <w:szCs w:val="24"/>
        </w:rPr>
      </w:pPr>
    </w:p>
    <w:p w14:paraId="10F474B4" w14:textId="77777777" w:rsidR="009B1EA2" w:rsidRDefault="009B1EA2" w:rsidP="009B1EA2">
      <w:pPr>
        <w:spacing w:line="480" w:lineRule="auto"/>
        <w:rPr>
          <w:rFonts w:ascii="Arial" w:hAnsi="Arial" w:cs="Arial"/>
          <w:sz w:val="24"/>
          <w:szCs w:val="24"/>
        </w:rPr>
      </w:pPr>
    </w:p>
    <w:p w14:paraId="15203C7F" w14:textId="2BB6BBDD" w:rsidR="00456893" w:rsidRDefault="00FA4C84" w:rsidP="0039635F">
      <w:pPr>
        <w:pStyle w:val="Heading2"/>
      </w:pPr>
      <w:r w:rsidRPr="00125D33">
        <w:t xml:space="preserve">Supplemental Figure </w:t>
      </w:r>
      <w:r w:rsidR="00F25D32">
        <w:t>S</w:t>
      </w:r>
      <w:r w:rsidR="009B1EA2">
        <w:t>2</w:t>
      </w:r>
    </w:p>
    <w:p w14:paraId="10BDA3A4" w14:textId="77777777" w:rsidR="0039635F" w:rsidRPr="0039635F" w:rsidRDefault="0039635F" w:rsidP="0039635F"/>
    <w:p w14:paraId="563B7357" w14:textId="360C362C" w:rsidR="00FA4C84" w:rsidRDefault="00FA4C84" w:rsidP="00FA4C84">
      <w:pPr>
        <w:spacing w:line="480" w:lineRule="auto"/>
        <w:rPr>
          <w:rFonts w:ascii="Arial" w:hAnsi="Arial" w:cs="Arial"/>
          <w:sz w:val="24"/>
          <w:szCs w:val="24"/>
        </w:rPr>
      </w:pPr>
      <w:r w:rsidRPr="00125D33">
        <w:rPr>
          <w:rFonts w:ascii="Arial" w:hAnsi="Arial" w:cs="Arial"/>
          <w:sz w:val="24"/>
          <w:szCs w:val="24"/>
        </w:rPr>
        <w:t xml:space="preserve">Search Strategy for identification of </w:t>
      </w:r>
      <w:r w:rsidR="00500816">
        <w:rPr>
          <w:rFonts w:ascii="Arial" w:hAnsi="Arial" w:cs="Arial"/>
          <w:sz w:val="24"/>
          <w:szCs w:val="24"/>
        </w:rPr>
        <w:t>longitudinal</w:t>
      </w:r>
      <w:r w:rsidRPr="00125D33">
        <w:rPr>
          <w:rFonts w:ascii="Arial" w:hAnsi="Arial" w:cs="Arial"/>
          <w:sz w:val="24"/>
          <w:szCs w:val="24"/>
        </w:rPr>
        <w:t xml:space="preserve"> studies</w:t>
      </w:r>
    </w:p>
    <w:p w14:paraId="41C4A340" w14:textId="77777777" w:rsidR="00F331F7" w:rsidRPr="00125D33" w:rsidRDefault="00F331F7" w:rsidP="00F331F7">
      <w:pPr>
        <w:jc w:val="center"/>
        <w:rPr>
          <w:rFonts w:ascii="Arial" w:hAnsi="Arial" w:cs="Arial"/>
          <w:sz w:val="24"/>
          <w:szCs w:val="24"/>
        </w:rPr>
      </w:pPr>
      <w:r w:rsidRPr="00125D33">
        <w:rPr>
          <w:rFonts w:ascii="Arial" w:hAnsi="Arial" w:cs="Arial"/>
          <w:color w:val="000000"/>
          <w:sz w:val="24"/>
          <w:szCs w:val="24"/>
          <w:shd w:val="clear" w:color="auto" w:fill="FFFFFF"/>
        </w:rPr>
        <w:t xml:space="preserve">(Matrix </w:t>
      </w:r>
      <w:proofErr w:type="spellStart"/>
      <w:r w:rsidRPr="00125D33">
        <w:rPr>
          <w:rFonts w:ascii="Arial" w:hAnsi="Arial" w:cs="Arial"/>
          <w:color w:val="000000"/>
          <w:sz w:val="24"/>
          <w:szCs w:val="24"/>
          <w:shd w:val="clear" w:color="auto" w:fill="FFFFFF"/>
        </w:rPr>
        <w:t>Gla</w:t>
      </w:r>
      <w:proofErr w:type="spellEnd"/>
      <w:r w:rsidRPr="00125D33">
        <w:rPr>
          <w:rFonts w:ascii="Arial" w:hAnsi="Arial" w:cs="Arial"/>
          <w:color w:val="000000"/>
          <w:sz w:val="24"/>
          <w:szCs w:val="24"/>
          <w:shd w:val="clear" w:color="auto" w:fill="FFFFFF"/>
        </w:rPr>
        <w:t xml:space="preserve"> protein OR MGP OR Osteocalcin OR </w:t>
      </w:r>
      <w:r w:rsidRPr="00125D33">
        <w:rPr>
          <w:rFonts w:ascii="Arial" w:hAnsi="Arial" w:cs="Arial"/>
          <w:sz w:val="24"/>
          <w:szCs w:val="24"/>
        </w:rPr>
        <w:t>PIVKA OR Vitamin K deficiency)</w:t>
      </w:r>
    </w:p>
    <w:p w14:paraId="2FB7B581" w14:textId="77777777" w:rsidR="00F331F7" w:rsidRPr="00125D33" w:rsidRDefault="00F331F7" w:rsidP="00F331F7">
      <w:pPr>
        <w:jc w:val="center"/>
        <w:rPr>
          <w:rFonts w:ascii="Arial" w:hAnsi="Arial" w:cs="Arial"/>
          <w:sz w:val="24"/>
          <w:szCs w:val="24"/>
        </w:rPr>
      </w:pPr>
      <w:r w:rsidRPr="00125D33">
        <w:rPr>
          <w:rFonts w:ascii="Arial" w:hAnsi="Arial" w:cs="Arial"/>
          <w:sz w:val="24"/>
          <w:szCs w:val="24"/>
        </w:rPr>
        <w:t>AND</w:t>
      </w:r>
    </w:p>
    <w:p w14:paraId="35BAD4E1" w14:textId="77777777" w:rsidR="00F331F7" w:rsidRPr="00125D33" w:rsidRDefault="00F331F7" w:rsidP="00F331F7">
      <w:pPr>
        <w:jc w:val="center"/>
        <w:rPr>
          <w:rFonts w:ascii="Arial" w:hAnsi="Arial" w:cs="Arial"/>
          <w:color w:val="000000"/>
          <w:sz w:val="24"/>
          <w:szCs w:val="24"/>
          <w:shd w:val="clear" w:color="auto" w:fill="FFFFFF"/>
        </w:rPr>
      </w:pPr>
      <w:r w:rsidRPr="00125D33">
        <w:rPr>
          <w:rFonts w:ascii="Arial" w:hAnsi="Arial" w:cs="Arial"/>
          <w:sz w:val="24"/>
          <w:szCs w:val="24"/>
        </w:rPr>
        <w:t xml:space="preserve">(Cardiovascular OR Coronary OR Cardiac OR CV OR Mortality OR </w:t>
      </w:r>
      <w:r w:rsidR="00D516A0">
        <w:rPr>
          <w:rFonts w:ascii="Arial" w:hAnsi="Arial" w:cs="Arial"/>
          <w:sz w:val="24"/>
          <w:szCs w:val="24"/>
        </w:rPr>
        <w:t>D</w:t>
      </w:r>
      <w:r w:rsidRPr="00125D33">
        <w:rPr>
          <w:rFonts w:ascii="Arial" w:hAnsi="Arial" w:cs="Arial"/>
          <w:sz w:val="24"/>
          <w:szCs w:val="24"/>
        </w:rPr>
        <w:t>eath)</w:t>
      </w:r>
    </w:p>
    <w:p w14:paraId="5B858C5C" w14:textId="77777777" w:rsidR="00F331F7" w:rsidRPr="00125D33" w:rsidRDefault="00F331F7" w:rsidP="00F331F7">
      <w:pPr>
        <w:rPr>
          <w:rFonts w:ascii="Arial" w:eastAsiaTheme="majorEastAsia" w:hAnsi="Arial" w:cs="Arial"/>
          <w:b/>
          <w:sz w:val="24"/>
          <w:szCs w:val="24"/>
        </w:rPr>
      </w:pPr>
    </w:p>
    <w:p w14:paraId="7D66A0C6" w14:textId="0752F46D" w:rsidR="00483896" w:rsidRDefault="00483896" w:rsidP="00483896">
      <w:pPr>
        <w:pStyle w:val="Heading2"/>
      </w:pPr>
      <w:r w:rsidRPr="00125D33">
        <w:lastRenderedPageBreak/>
        <w:t xml:space="preserve">Supplemental Figure </w:t>
      </w:r>
      <w:r>
        <w:t xml:space="preserve">S3 </w:t>
      </w:r>
    </w:p>
    <w:p w14:paraId="6532D8B8" w14:textId="77777777" w:rsidR="00483896" w:rsidRPr="003C5297" w:rsidRDefault="00483896" w:rsidP="00483896"/>
    <w:p w14:paraId="6AB0F05F" w14:textId="77777777" w:rsidR="00483896" w:rsidRPr="00125D33" w:rsidRDefault="00483896" w:rsidP="00483896">
      <w:pPr>
        <w:spacing w:line="480" w:lineRule="auto"/>
        <w:rPr>
          <w:rFonts w:ascii="Arial" w:hAnsi="Arial" w:cs="Arial"/>
          <w:sz w:val="24"/>
          <w:szCs w:val="24"/>
        </w:rPr>
      </w:pPr>
      <w:r w:rsidRPr="00125D33">
        <w:rPr>
          <w:rFonts w:ascii="Arial" w:hAnsi="Arial" w:cs="Arial"/>
          <w:sz w:val="24"/>
          <w:szCs w:val="24"/>
        </w:rPr>
        <w:t>Funnel plot including Trim and Fill analysis for assessment of publication bias for vitamin K intervention studies measuring vascular calcification.  Filled circles represent log hazard ratio plotted against standard error for included studies.  There are no unfilled circles (which represent studies with imputed results to balance the analysis).  There is no suggestion of publication bias though with few studies for comparison.</w:t>
      </w:r>
    </w:p>
    <w:p w14:paraId="21024B13" w14:textId="77777777" w:rsidR="00483896" w:rsidRDefault="00483896" w:rsidP="00483896">
      <w:pPr>
        <w:rPr>
          <w:rFonts w:ascii="Arial" w:eastAsiaTheme="majorEastAsia" w:hAnsi="Arial" w:cs="Arial"/>
          <w:b/>
          <w:sz w:val="24"/>
          <w:szCs w:val="24"/>
        </w:rPr>
      </w:pPr>
      <w:r>
        <w:rPr>
          <w:noProof/>
        </w:rPr>
        <w:drawing>
          <wp:anchor distT="0" distB="0" distL="114300" distR="114300" simplePos="0" relativeHeight="251671552" behindDoc="1" locked="0" layoutInCell="1" allowOverlap="1" wp14:anchorId="7006D438" wp14:editId="51084AA6">
            <wp:simplePos x="0" y="0"/>
            <wp:positionH relativeFrom="column">
              <wp:posOffset>1970314</wp:posOffset>
            </wp:positionH>
            <wp:positionV relativeFrom="paragraph">
              <wp:posOffset>160746</wp:posOffset>
            </wp:positionV>
            <wp:extent cx="4685665" cy="3514090"/>
            <wp:effectExtent l="0" t="0" r="635" b="0"/>
            <wp:wrapThrough wrapText="bothSides">
              <wp:wrapPolygon edited="0">
                <wp:start x="0" y="0"/>
                <wp:lineTo x="0" y="21428"/>
                <wp:lineTo x="21515" y="21428"/>
                <wp:lineTo x="2151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5665" cy="351409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8ABAB20" w14:textId="75FB8049" w:rsidR="00483896" w:rsidRDefault="00483896" w:rsidP="00483896">
      <w:pPr>
        <w:pStyle w:val="Heading2"/>
      </w:pPr>
      <w:r w:rsidRPr="00125D33">
        <w:lastRenderedPageBreak/>
        <w:t xml:space="preserve">Supplemental Figure </w:t>
      </w:r>
      <w:r>
        <w:t>S4</w:t>
      </w:r>
    </w:p>
    <w:p w14:paraId="1CD0E30A" w14:textId="77777777" w:rsidR="00483896" w:rsidRPr="00030BA1" w:rsidRDefault="00483896" w:rsidP="00483896"/>
    <w:p w14:paraId="14A2A624" w14:textId="77777777" w:rsidR="00483896" w:rsidRPr="00125D33" w:rsidRDefault="00483896" w:rsidP="00483896">
      <w:pPr>
        <w:spacing w:line="480" w:lineRule="auto"/>
        <w:rPr>
          <w:rFonts w:ascii="Arial" w:hAnsi="Arial" w:cs="Arial"/>
          <w:sz w:val="24"/>
          <w:szCs w:val="24"/>
        </w:rPr>
      </w:pPr>
      <w:r w:rsidRPr="00125D33">
        <w:rPr>
          <w:rFonts w:ascii="Arial" w:hAnsi="Arial" w:cs="Arial"/>
          <w:sz w:val="24"/>
          <w:szCs w:val="24"/>
        </w:rPr>
        <w:t xml:space="preserve">Funnel plot including Trim and Fill analysis for assessment of publication bias for vitamin K intervention studies measuring effect on </w:t>
      </w:r>
      <w:proofErr w:type="spellStart"/>
      <w:r w:rsidRPr="00125D33">
        <w:rPr>
          <w:rFonts w:ascii="Arial" w:hAnsi="Arial" w:cs="Arial"/>
          <w:sz w:val="24"/>
          <w:szCs w:val="24"/>
        </w:rPr>
        <w:t>dp-ucMGP</w:t>
      </w:r>
      <w:proofErr w:type="spellEnd"/>
      <w:r w:rsidRPr="00125D33">
        <w:rPr>
          <w:rFonts w:ascii="Arial" w:hAnsi="Arial" w:cs="Arial"/>
          <w:sz w:val="24"/>
          <w:szCs w:val="24"/>
        </w:rPr>
        <w:t xml:space="preserve">.  Filled circles represent log hazard ratio plotted against standard error.  Unfilled circles represent studies that would be expected to balance the results.  There are unfilled circles to the </w:t>
      </w:r>
      <w:r>
        <w:rPr>
          <w:rFonts w:ascii="Arial" w:hAnsi="Arial" w:cs="Arial"/>
          <w:sz w:val="24"/>
          <w:szCs w:val="24"/>
        </w:rPr>
        <w:t xml:space="preserve">right </w:t>
      </w:r>
      <w:r w:rsidRPr="00125D33">
        <w:rPr>
          <w:rFonts w:ascii="Arial" w:hAnsi="Arial" w:cs="Arial"/>
          <w:sz w:val="24"/>
          <w:szCs w:val="24"/>
        </w:rPr>
        <w:t xml:space="preserve">suggesting publication bias in favour of </w:t>
      </w:r>
      <w:r>
        <w:rPr>
          <w:rFonts w:ascii="Arial" w:hAnsi="Arial" w:cs="Arial"/>
          <w:sz w:val="24"/>
          <w:szCs w:val="24"/>
        </w:rPr>
        <w:t xml:space="preserve">positive </w:t>
      </w:r>
      <w:r w:rsidRPr="00125D33">
        <w:rPr>
          <w:rFonts w:ascii="Arial" w:hAnsi="Arial" w:cs="Arial"/>
          <w:sz w:val="24"/>
          <w:szCs w:val="24"/>
        </w:rPr>
        <w:t>results.</w:t>
      </w:r>
    </w:p>
    <w:p w14:paraId="3ECC6CB3" w14:textId="77777777" w:rsidR="00483896" w:rsidRPr="00125D33" w:rsidRDefault="00483896" w:rsidP="00483896">
      <w:pPr>
        <w:spacing w:line="480" w:lineRule="auto"/>
        <w:rPr>
          <w:rFonts w:ascii="Arial" w:hAnsi="Arial" w:cs="Arial"/>
          <w:sz w:val="24"/>
          <w:szCs w:val="24"/>
        </w:rPr>
      </w:pPr>
      <w:r>
        <w:rPr>
          <w:noProof/>
        </w:rPr>
        <w:drawing>
          <wp:anchor distT="0" distB="0" distL="114300" distR="114300" simplePos="0" relativeHeight="251667456" behindDoc="0" locked="0" layoutInCell="1" allowOverlap="1" wp14:anchorId="7DC5DCFF" wp14:editId="2ABC26E3">
            <wp:simplePos x="0" y="0"/>
            <wp:positionH relativeFrom="column">
              <wp:posOffset>1854200</wp:posOffset>
            </wp:positionH>
            <wp:positionV relativeFrom="paragraph">
              <wp:posOffset>74930</wp:posOffset>
            </wp:positionV>
            <wp:extent cx="4484443" cy="3362960"/>
            <wp:effectExtent l="0" t="0" r="0" b="8890"/>
            <wp:wrapThrough wrapText="bothSides">
              <wp:wrapPolygon edited="0">
                <wp:start x="0" y="0"/>
                <wp:lineTo x="0" y="21535"/>
                <wp:lineTo x="21472" y="21535"/>
                <wp:lineTo x="2147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4443" cy="3362960"/>
                    </a:xfrm>
                    <a:prstGeom prst="rect">
                      <a:avLst/>
                    </a:prstGeom>
                  </pic:spPr>
                </pic:pic>
              </a:graphicData>
            </a:graphic>
          </wp:anchor>
        </w:drawing>
      </w:r>
    </w:p>
    <w:p w14:paraId="4372DCA7" w14:textId="77777777" w:rsidR="00483896" w:rsidRPr="00125D33" w:rsidRDefault="00483896" w:rsidP="00483896">
      <w:pPr>
        <w:spacing w:line="480" w:lineRule="auto"/>
        <w:rPr>
          <w:rFonts w:ascii="Arial" w:hAnsi="Arial" w:cs="Arial"/>
          <w:sz w:val="24"/>
          <w:szCs w:val="24"/>
        </w:rPr>
      </w:pPr>
    </w:p>
    <w:p w14:paraId="2887D367" w14:textId="77777777" w:rsidR="00483896" w:rsidRPr="00125D33" w:rsidRDefault="00483896" w:rsidP="00483896">
      <w:pPr>
        <w:pStyle w:val="Heading2"/>
      </w:pPr>
      <w:r w:rsidRPr="00125D33">
        <w:br w:type="page"/>
      </w:r>
    </w:p>
    <w:p w14:paraId="5EE5B544" w14:textId="506C7B36" w:rsidR="00483896" w:rsidRDefault="00483896" w:rsidP="00483896">
      <w:pPr>
        <w:pStyle w:val="Heading2"/>
      </w:pPr>
      <w:r w:rsidRPr="00125D33">
        <w:lastRenderedPageBreak/>
        <w:t xml:space="preserve">Supplemental Figure </w:t>
      </w:r>
      <w:r>
        <w:t xml:space="preserve">S5 </w:t>
      </w:r>
    </w:p>
    <w:p w14:paraId="2D67D762" w14:textId="77777777" w:rsidR="00483896" w:rsidRPr="00093DD9" w:rsidRDefault="00483896" w:rsidP="00483896"/>
    <w:p w14:paraId="03BEA7BE" w14:textId="77777777" w:rsidR="00483896" w:rsidRPr="00125D33" w:rsidRDefault="00483896" w:rsidP="00483896">
      <w:pPr>
        <w:spacing w:line="480" w:lineRule="auto"/>
        <w:rPr>
          <w:rFonts w:ascii="Arial" w:hAnsi="Arial" w:cs="Arial"/>
          <w:sz w:val="24"/>
          <w:szCs w:val="24"/>
        </w:rPr>
      </w:pPr>
      <w:r w:rsidRPr="00125D33">
        <w:rPr>
          <w:rFonts w:ascii="Arial" w:hAnsi="Arial" w:cs="Arial"/>
          <w:sz w:val="24"/>
          <w:szCs w:val="24"/>
        </w:rPr>
        <w:t>Funnel plot including Trim and Fill analysis for assessment of publication bias for vitamin K intervention studies measuring effect on vascular stiffness.  Filled circles represent log hazard ratio plotted against standard error.  Unfilled circles represent studies that would be expected to balance the results.  There is suggestion of skew to the left (which indicates favourable improvement in vascular stiffness), and therefore suggestion of publication bias in favour of positive results.</w:t>
      </w:r>
    </w:p>
    <w:p w14:paraId="4435CF08" w14:textId="77777777" w:rsidR="00483896" w:rsidRPr="00125D33" w:rsidRDefault="00483896" w:rsidP="00483896">
      <w:pPr>
        <w:spacing w:line="480" w:lineRule="auto"/>
        <w:rPr>
          <w:rFonts w:ascii="Arial" w:hAnsi="Arial" w:cs="Arial"/>
          <w:sz w:val="24"/>
          <w:szCs w:val="24"/>
        </w:rPr>
      </w:pPr>
      <w:r>
        <w:rPr>
          <w:noProof/>
        </w:rPr>
        <w:drawing>
          <wp:anchor distT="0" distB="0" distL="114300" distR="114300" simplePos="0" relativeHeight="251669504" behindDoc="0" locked="0" layoutInCell="1" allowOverlap="1" wp14:anchorId="3F9F82BB" wp14:editId="65670A30">
            <wp:simplePos x="0" y="0"/>
            <wp:positionH relativeFrom="column">
              <wp:posOffset>2013857</wp:posOffset>
            </wp:positionH>
            <wp:positionV relativeFrom="paragraph">
              <wp:posOffset>123190</wp:posOffset>
            </wp:positionV>
            <wp:extent cx="4735830" cy="3551555"/>
            <wp:effectExtent l="0" t="0" r="7620" b="0"/>
            <wp:wrapThrough wrapText="bothSides">
              <wp:wrapPolygon edited="0">
                <wp:start x="0" y="0"/>
                <wp:lineTo x="0" y="21434"/>
                <wp:lineTo x="21548" y="21434"/>
                <wp:lineTo x="215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5830" cy="3551555"/>
                    </a:xfrm>
                    <a:prstGeom prst="rect">
                      <a:avLst/>
                    </a:prstGeom>
                  </pic:spPr>
                </pic:pic>
              </a:graphicData>
            </a:graphic>
          </wp:anchor>
        </w:drawing>
      </w:r>
    </w:p>
    <w:p w14:paraId="5F5449C9" w14:textId="77777777" w:rsidR="00483896" w:rsidRDefault="00483896" w:rsidP="00483896">
      <w:pPr>
        <w:rPr>
          <w:rFonts w:ascii="Arial" w:eastAsiaTheme="majorEastAsia" w:hAnsi="Arial" w:cs="Arial"/>
          <w:b/>
          <w:sz w:val="24"/>
          <w:szCs w:val="24"/>
        </w:rPr>
      </w:pPr>
    </w:p>
    <w:p w14:paraId="5B744E0F" w14:textId="63DD36FF" w:rsidR="00900967" w:rsidRDefault="0087742E" w:rsidP="00666FA6">
      <w:pPr>
        <w:pStyle w:val="Heading2"/>
      </w:pPr>
      <w:r>
        <w:rPr>
          <w:noProof/>
        </w:rPr>
        <w:lastRenderedPageBreak/>
        <w:drawing>
          <wp:anchor distT="0" distB="0" distL="114300" distR="114300" simplePos="0" relativeHeight="251665408" behindDoc="0" locked="0" layoutInCell="1" allowOverlap="1" wp14:anchorId="2516873B" wp14:editId="0D49991F">
            <wp:simplePos x="0" y="0"/>
            <wp:positionH relativeFrom="column">
              <wp:posOffset>1493520</wp:posOffset>
            </wp:positionH>
            <wp:positionV relativeFrom="paragraph">
              <wp:posOffset>259080</wp:posOffset>
            </wp:positionV>
            <wp:extent cx="6048375" cy="53721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537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967">
        <w:t>Supplemental Figure S</w:t>
      </w:r>
      <w:r w:rsidR="003A7171">
        <w:t>6</w:t>
      </w:r>
    </w:p>
    <w:p w14:paraId="799D73C9" w14:textId="482CF4E8" w:rsidR="00FA4C84" w:rsidRDefault="00FA4C84" w:rsidP="00666FA6">
      <w:pPr>
        <w:pStyle w:val="Heading2"/>
      </w:pPr>
      <w:r w:rsidRPr="00125D33">
        <w:lastRenderedPageBreak/>
        <w:t xml:space="preserve">Supplemental Figure </w:t>
      </w:r>
      <w:r w:rsidR="00F25D32">
        <w:t>S</w:t>
      </w:r>
      <w:r w:rsidR="0002738F">
        <w:t>7</w:t>
      </w:r>
    </w:p>
    <w:p w14:paraId="286FD404" w14:textId="77777777" w:rsidR="00093DD9" w:rsidRPr="00093DD9" w:rsidRDefault="00093DD9" w:rsidP="00093DD9"/>
    <w:p w14:paraId="652569CE" w14:textId="77777777" w:rsidR="00FA4C84" w:rsidRDefault="00FA4C84" w:rsidP="00FA4C84">
      <w:pPr>
        <w:spacing w:line="480" w:lineRule="auto"/>
        <w:rPr>
          <w:rFonts w:ascii="Arial" w:hAnsi="Arial" w:cs="Arial"/>
          <w:sz w:val="24"/>
          <w:szCs w:val="24"/>
        </w:rPr>
      </w:pPr>
      <w:r w:rsidRPr="00125D33">
        <w:rPr>
          <w:rFonts w:ascii="Arial" w:hAnsi="Arial" w:cs="Arial"/>
          <w:sz w:val="24"/>
          <w:szCs w:val="24"/>
        </w:rPr>
        <w:t xml:space="preserve">Funnel plot including Trim and Fill analysis for assessment of publication bias for </w:t>
      </w:r>
      <w:proofErr w:type="spellStart"/>
      <w:r w:rsidRPr="00125D33">
        <w:rPr>
          <w:rFonts w:ascii="Arial" w:hAnsi="Arial" w:cs="Arial"/>
          <w:sz w:val="24"/>
          <w:szCs w:val="24"/>
        </w:rPr>
        <w:t>dp-ucMGP</w:t>
      </w:r>
      <w:proofErr w:type="spellEnd"/>
      <w:r w:rsidRPr="00125D33">
        <w:rPr>
          <w:rFonts w:ascii="Arial" w:hAnsi="Arial" w:cs="Arial"/>
          <w:sz w:val="24"/>
          <w:szCs w:val="24"/>
        </w:rPr>
        <w:t xml:space="preserve"> considered “high” vs “low”.  Filled circles represent log hazard ratio plotted against standard error.  Unfilled circles represent studies that would be expected to balance the results.  There is suggestion of skew to the right i.e. publication bias in favour of positive results.</w:t>
      </w:r>
    </w:p>
    <w:p w14:paraId="6758E132" w14:textId="77777777" w:rsidR="007677FD" w:rsidRPr="00125D33" w:rsidRDefault="007677FD" w:rsidP="00FA4C84">
      <w:pPr>
        <w:spacing w:line="480" w:lineRule="auto"/>
        <w:rPr>
          <w:rFonts w:ascii="Arial" w:hAnsi="Arial" w:cs="Arial"/>
          <w:sz w:val="24"/>
          <w:szCs w:val="24"/>
        </w:rPr>
      </w:pPr>
      <w:r>
        <w:rPr>
          <w:noProof/>
        </w:rPr>
        <w:drawing>
          <wp:anchor distT="0" distB="0" distL="114300" distR="114300" simplePos="0" relativeHeight="251658240" behindDoc="0" locked="0" layoutInCell="1" allowOverlap="1" wp14:anchorId="05B7A7AD" wp14:editId="71A84567">
            <wp:simplePos x="0" y="0"/>
            <wp:positionH relativeFrom="column">
              <wp:posOffset>1774190</wp:posOffset>
            </wp:positionH>
            <wp:positionV relativeFrom="paragraph">
              <wp:posOffset>-5080</wp:posOffset>
            </wp:positionV>
            <wp:extent cx="4816475" cy="3612515"/>
            <wp:effectExtent l="0" t="0" r="3175" b="6985"/>
            <wp:wrapThrough wrapText="bothSides">
              <wp:wrapPolygon edited="0">
                <wp:start x="0" y="0"/>
                <wp:lineTo x="0" y="21528"/>
                <wp:lineTo x="21529" y="21528"/>
                <wp:lineTo x="2152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6475" cy="3612515"/>
                    </a:xfrm>
                    <a:prstGeom prst="rect">
                      <a:avLst/>
                    </a:prstGeom>
                  </pic:spPr>
                </pic:pic>
              </a:graphicData>
            </a:graphic>
          </wp:anchor>
        </w:drawing>
      </w:r>
    </w:p>
    <w:p w14:paraId="57C42171" w14:textId="77777777" w:rsidR="007677FD" w:rsidRDefault="007677FD">
      <w:pPr>
        <w:rPr>
          <w:rFonts w:ascii="Arial" w:eastAsiaTheme="majorEastAsia" w:hAnsi="Arial" w:cs="Arial"/>
          <w:b/>
          <w:sz w:val="24"/>
          <w:szCs w:val="24"/>
        </w:rPr>
      </w:pPr>
      <w:r>
        <w:br w:type="page"/>
      </w:r>
    </w:p>
    <w:sectPr w:rsidR="007677FD" w:rsidSect="00B11A6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F17E96"/>
    <w:multiLevelType w:val="hybridMultilevel"/>
    <w:tmpl w:val="F1C00A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D00"/>
    <w:rsid w:val="0000190E"/>
    <w:rsid w:val="000019B6"/>
    <w:rsid w:val="00004C96"/>
    <w:rsid w:val="00005827"/>
    <w:rsid w:val="00012EEB"/>
    <w:rsid w:val="0001381D"/>
    <w:rsid w:val="0001451A"/>
    <w:rsid w:val="00017C1D"/>
    <w:rsid w:val="00020203"/>
    <w:rsid w:val="00020B48"/>
    <w:rsid w:val="00021319"/>
    <w:rsid w:val="000215E5"/>
    <w:rsid w:val="0002381A"/>
    <w:rsid w:val="000239B5"/>
    <w:rsid w:val="0002738F"/>
    <w:rsid w:val="000305A4"/>
    <w:rsid w:val="00030BA1"/>
    <w:rsid w:val="00032FBB"/>
    <w:rsid w:val="00035EB7"/>
    <w:rsid w:val="00044B0F"/>
    <w:rsid w:val="00046FF4"/>
    <w:rsid w:val="00047936"/>
    <w:rsid w:val="000505E1"/>
    <w:rsid w:val="00053477"/>
    <w:rsid w:val="00053706"/>
    <w:rsid w:val="00053C26"/>
    <w:rsid w:val="00056592"/>
    <w:rsid w:val="00060FD2"/>
    <w:rsid w:val="00063FD3"/>
    <w:rsid w:val="00065186"/>
    <w:rsid w:val="000652D9"/>
    <w:rsid w:val="00070786"/>
    <w:rsid w:val="0007117C"/>
    <w:rsid w:val="00073A18"/>
    <w:rsid w:val="00073E8C"/>
    <w:rsid w:val="000754AB"/>
    <w:rsid w:val="000757F8"/>
    <w:rsid w:val="00075B04"/>
    <w:rsid w:val="00076459"/>
    <w:rsid w:val="0008159E"/>
    <w:rsid w:val="00082CBE"/>
    <w:rsid w:val="0008559A"/>
    <w:rsid w:val="000873C3"/>
    <w:rsid w:val="0009078E"/>
    <w:rsid w:val="0009152F"/>
    <w:rsid w:val="00093DD9"/>
    <w:rsid w:val="00094258"/>
    <w:rsid w:val="00094A3A"/>
    <w:rsid w:val="00097787"/>
    <w:rsid w:val="00097892"/>
    <w:rsid w:val="000A0401"/>
    <w:rsid w:val="000A0ABB"/>
    <w:rsid w:val="000A1D33"/>
    <w:rsid w:val="000A31C1"/>
    <w:rsid w:val="000B0E1F"/>
    <w:rsid w:val="000B30FE"/>
    <w:rsid w:val="000B4BB8"/>
    <w:rsid w:val="000B6C4B"/>
    <w:rsid w:val="000B6D2F"/>
    <w:rsid w:val="000B7A70"/>
    <w:rsid w:val="000B7EC1"/>
    <w:rsid w:val="000C14C1"/>
    <w:rsid w:val="000C2B31"/>
    <w:rsid w:val="000C40C6"/>
    <w:rsid w:val="000D0048"/>
    <w:rsid w:val="000D2407"/>
    <w:rsid w:val="000D35BE"/>
    <w:rsid w:val="000D4766"/>
    <w:rsid w:val="000D576A"/>
    <w:rsid w:val="000D7C09"/>
    <w:rsid w:val="000E0AE6"/>
    <w:rsid w:val="000E3545"/>
    <w:rsid w:val="000E50F7"/>
    <w:rsid w:val="000E64AE"/>
    <w:rsid w:val="000F21DF"/>
    <w:rsid w:val="000F25C0"/>
    <w:rsid w:val="000F2D97"/>
    <w:rsid w:val="000F4368"/>
    <w:rsid w:val="000F5824"/>
    <w:rsid w:val="00100F07"/>
    <w:rsid w:val="00103D9C"/>
    <w:rsid w:val="00105585"/>
    <w:rsid w:val="001068B2"/>
    <w:rsid w:val="0010749E"/>
    <w:rsid w:val="00110A1B"/>
    <w:rsid w:val="0011194E"/>
    <w:rsid w:val="00116724"/>
    <w:rsid w:val="00117434"/>
    <w:rsid w:val="00117C63"/>
    <w:rsid w:val="00121BF5"/>
    <w:rsid w:val="0012292D"/>
    <w:rsid w:val="00123C77"/>
    <w:rsid w:val="00125747"/>
    <w:rsid w:val="00125D33"/>
    <w:rsid w:val="001260DE"/>
    <w:rsid w:val="00127A09"/>
    <w:rsid w:val="001368FD"/>
    <w:rsid w:val="00137C6E"/>
    <w:rsid w:val="00141AB8"/>
    <w:rsid w:val="00145078"/>
    <w:rsid w:val="00146777"/>
    <w:rsid w:val="00150AC0"/>
    <w:rsid w:val="001526CF"/>
    <w:rsid w:val="00153B7F"/>
    <w:rsid w:val="00155975"/>
    <w:rsid w:val="00155C7B"/>
    <w:rsid w:val="00156481"/>
    <w:rsid w:val="00161850"/>
    <w:rsid w:val="00165D62"/>
    <w:rsid w:val="00165EF9"/>
    <w:rsid w:val="001668BE"/>
    <w:rsid w:val="00171A7B"/>
    <w:rsid w:val="001725E9"/>
    <w:rsid w:val="00182984"/>
    <w:rsid w:val="00183148"/>
    <w:rsid w:val="00186486"/>
    <w:rsid w:val="001879E5"/>
    <w:rsid w:val="001904F7"/>
    <w:rsid w:val="0019082B"/>
    <w:rsid w:val="00191C75"/>
    <w:rsid w:val="0019331F"/>
    <w:rsid w:val="00193C55"/>
    <w:rsid w:val="001942A5"/>
    <w:rsid w:val="001947B1"/>
    <w:rsid w:val="00195058"/>
    <w:rsid w:val="001A076B"/>
    <w:rsid w:val="001A197F"/>
    <w:rsid w:val="001A3E1A"/>
    <w:rsid w:val="001A4A00"/>
    <w:rsid w:val="001A4F3F"/>
    <w:rsid w:val="001A7D59"/>
    <w:rsid w:val="001B1791"/>
    <w:rsid w:val="001B2B91"/>
    <w:rsid w:val="001B5623"/>
    <w:rsid w:val="001B7625"/>
    <w:rsid w:val="001C209C"/>
    <w:rsid w:val="001C307B"/>
    <w:rsid w:val="001C3873"/>
    <w:rsid w:val="001C3EA6"/>
    <w:rsid w:val="001C4DE6"/>
    <w:rsid w:val="001C4EA7"/>
    <w:rsid w:val="001C5734"/>
    <w:rsid w:val="001C5CE1"/>
    <w:rsid w:val="001C7EBA"/>
    <w:rsid w:val="001D0741"/>
    <w:rsid w:val="001D6037"/>
    <w:rsid w:val="001D6077"/>
    <w:rsid w:val="001D6770"/>
    <w:rsid w:val="001D756D"/>
    <w:rsid w:val="001E1CBD"/>
    <w:rsid w:val="001E26C0"/>
    <w:rsid w:val="001E2E51"/>
    <w:rsid w:val="001E2F74"/>
    <w:rsid w:val="001E3FB3"/>
    <w:rsid w:val="001E4EB2"/>
    <w:rsid w:val="001E4EF1"/>
    <w:rsid w:val="001E5889"/>
    <w:rsid w:val="001E5D1B"/>
    <w:rsid w:val="001E5D5C"/>
    <w:rsid w:val="001E64C5"/>
    <w:rsid w:val="001E6CAA"/>
    <w:rsid w:val="001F0FB8"/>
    <w:rsid w:val="001F1D21"/>
    <w:rsid w:val="001F4DED"/>
    <w:rsid w:val="001F5080"/>
    <w:rsid w:val="001F6083"/>
    <w:rsid w:val="00200A59"/>
    <w:rsid w:val="00204AAC"/>
    <w:rsid w:val="00206C3B"/>
    <w:rsid w:val="00207C57"/>
    <w:rsid w:val="00207D56"/>
    <w:rsid w:val="00211DA9"/>
    <w:rsid w:val="0021328B"/>
    <w:rsid w:val="0021718F"/>
    <w:rsid w:val="0021795C"/>
    <w:rsid w:val="00222400"/>
    <w:rsid w:val="002225C4"/>
    <w:rsid w:val="00222CAF"/>
    <w:rsid w:val="002245C5"/>
    <w:rsid w:val="00225416"/>
    <w:rsid w:val="00225AAB"/>
    <w:rsid w:val="002301D3"/>
    <w:rsid w:val="00230A77"/>
    <w:rsid w:val="00230AD6"/>
    <w:rsid w:val="0023180C"/>
    <w:rsid w:val="002323CC"/>
    <w:rsid w:val="00233C9E"/>
    <w:rsid w:val="00234CD2"/>
    <w:rsid w:val="00235364"/>
    <w:rsid w:val="002362D4"/>
    <w:rsid w:val="00237CAB"/>
    <w:rsid w:val="00240696"/>
    <w:rsid w:val="002410E4"/>
    <w:rsid w:val="0024230E"/>
    <w:rsid w:val="00245C92"/>
    <w:rsid w:val="00246ABE"/>
    <w:rsid w:val="0025007F"/>
    <w:rsid w:val="002504E1"/>
    <w:rsid w:val="0025329A"/>
    <w:rsid w:val="0025531F"/>
    <w:rsid w:val="0025563F"/>
    <w:rsid w:val="002611D2"/>
    <w:rsid w:val="00261442"/>
    <w:rsid w:val="00261B72"/>
    <w:rsid w:val="00262C32"/>
    <w:rsid w:val="0026525C"/>
    <w:rsid w:val="002652BD"/>
    <w:rsid w:val="002657AD"/>
    <w:rsid w:val="00270151"/>
    <w:rsid w:val="002714B9"/>
    <w:rsid w:val="002734CA"/>
    <w:rsid w:val="00274568"/>
    <w:rsid w:val="00282394"/>
    <w:rsid w:val="00283B19"/>
    <w:rsid w:val="002846A2"/>
    <w:rsid w:val="00284AEE"/>
    <w:rsid w:val="00284EBB"/>
    <w:rsid w:val="002854C7"/>
    <w:rsid w:val="00290FBB"/>
    <w:rsid w:val="00291F2C"/>
    <w:rsid w:val="00295A15"/>
    <w:rsid w:val="00296470"/>
    <w:rsid w:val="00297991"/>
    <w:rsid w:val="002A0C6E"/>
    <w:rsid w:val="002A1A21"/>
    <w:rsid w:val="002A1B37"/>
    <w:rsid w:val="002A4967"/>
    <w:rsid w:val="002A660E"/>
    <w:rsid w:val="002A6B6B"/>
    <w:rsid w:val="002B11B3"/>
    <w:rsid w:val="002B26DB"/>
    <w:rsid w:val="002B29C8"/>
    <w:rsid w:val="002B33EF"/>
    <w:rsid w:val="002B3837"/>
    <w:rsid w:val="002B4B84"/>
    <w:rsid w:val="002B6647"/>
    <w:rsid w:val="002B789A"/>
    <w:rsid w:val="002C1504"/>
    <w:rsid w:val="002C184D"/>
    <w:rsid w:val="002C4304"/>
    <w:rsid w:val="002C67A2"/>
    <w:rsid w:val="002C71EA"/>
    <w:rsid w:val="002C7EED"/>
    <w:rsid w:val="002D00AA"/>
    <w:rsid w:val="002D2ACC"/>
    <w:rsid w:val="002D3FF3"/>
    <w:rsid w:val="002D7ABA"/>
    <w:rsid w:val="002D7CCE"/>
    <w:rsid w:val="002E08F4"/>
    <w:rsid w:val="002E4CE8"/>
    <w:rsid w:val="002F2D2E"/>
    <w:rsid w:val="002F4C38"/>
    <w:rsid w:val="002F6443"/>
    <w:rsid w:val="002F7F68"/>
    <w:rsid w:val="00300E52"/>
    <w:rsid w:val="00303497"/>
    <w:rsid w:val="00303CF0"/>
    <w:rsid w:val="003107B0"/>
    <w:rsid w:val="00311A26"/>
    <w:rsid w:val="00312461"/>
    <w:rsid w:val="0031253D"/>
    <w:rsid w:val="00313383"/>
    <w:rsid w:val="003134BF"/>
    <w:rsid w:val="0031601A"/>
    <w:rsid w:val="00324093"/>
    <w:rsid w:val="00324137"/>
    <w:rsid w:val="0032644E"/>
    <w:rsid w:val="00326D49"/>
    <w:rsid w:val="00326D78"/>
    <w:rsid w:val="0033048B"/>
    <w:rsid w:val="00330966"/>
    <w:rsid w:val="00330999"/>
    <w:rsid w:val="0033360A"/>
    <w:rsid w:val="0033534C"/>
    <w:rsid w:val="003417D2"/>
    <w:rsid w:val="003434C8"/>
    <w:rsid w:val="00353B1E"/>
    <w:rsid w:val="003628B6"/>
    <w:rsid w:val="003638D6"/>
    <w:rsid w:val="0036442A"/>
    <w:rsid w:val="00367FFE"/>
    <w:rsid w:val="003724F1"/>
    <w:rsid w:val="00373B81"/>
    <w:rsid w:val="0037456F"/>
    <w:rsid w:val="00375D76"/>
    <w:rsid w:val="0037681D"/>
    <w:rsid w:val="0037713C"/>
    <w:rsid w:val="003819D1"/>
    <w:rsid w:val="00381FD0"/>
    <w:rsid w:val="003820C0"/>
    <w:rsid w:val="00385A21"/>
    <w:rsid w:val="003877FA"/>
    <w:rsid w:val="00387D97"/>
    <w:rsid w:val="00391D4B"/>
    <w:rsid w:val="0039400C"/>
    <w:rsid w:val="00394E2B"/>
    <w:rsid w:val="0039635F"/>
    <w:rsid w:val="00397600"/>
    <w:rsid w:val="00397973"/>
    <w:rsid w:val="00397B74"/>
    <w:rsid w:val="003A00AC"/>
    <w:rsid w:val="003A1D08"/>
    <w:rsid w:val="003A68E9"/>
    <w:rsid w:val="003A6DCF"/>
    <w:rsid w:val="003A7171"/>
    <w:rsid w:val="003B22E6"/>
    <w:rsid w:val="003B240D"/>
    <w:rsid w:val="003B29A5"/>
    <w:rsid w:val="003B4047"/>
    <w:rsid w:val="003B6554"/>
    <w:rsid w:val="003B6E96"/>
    <w:rsid w:val="003C1648"/>
    <w:rsid w:val="003C3F34"/>
    <w:rsid w:val="003C5297"/>
    <w:rsid w:val="003C580C"/>
    <w:rsid w:val="003C72F9"/>
    <w:rsid w:val="003D1C1B"/>
    <w:rsid w:val="003D2AA9"/>
    <w:rsid w:val="003D3287"/>
    <w:rsid w:val="003D6B40"/>
    <w:rsid w:val="003D7D16"/>
    <w:rsid w:val="003E02C3"/>
    <w:rsid w:val="003E1C3F"/>
    <w:rsid w:val="003E2D26"/>
    <w:rsid w:val="003E3347"/>
    <w:rsid w:val="003E3DEE"/>
    <w:rsid w:val="003E4CA9"/>
    <w:rsid w:val="003E581F"/>
    <w:rsid w:val="003E6261"/>
    <w:rsid w:val="003F0F91"/>
    <w:rsid w:val="003F2B40"/>
    <w:rsid w:val="003F4D82"/>
    <w:rsid w:val="003F7FDB"/>
    <w:rsid w:val="004022A2"/>
    <w:rsid w:val="004034F4"/>
    <w:rsid w:val="00404F5E"/>
    <w:rsid w:val="00405713"/>
    <w:rsid w:val="00411784"/>
    <w:rsid w:val="00411C12"/>
    <w:rsid w:val="004128C6"/>
    <w:rsid w:val="00413531"/>
    <w:rsid w:val="00414F17"/>
    <w:rsid w:val="004174F0"/>
    <w:rsid w:val="00421232"/>
    <w:rsid w:val="004212A5"/>
    <w:rsid w:val="00422DDF"/>
    <w:rsid w:val="0043042E"/>
    <w:rsid w:val="004323B6"/>
    <w:rsid w:val="00432AE6"/>
    <w:rsid w:val="004337AF"/>
    <w:rsid w:val="00433FE2"/>
    <w:rsid w:val="00434A54"/>
    <w:rsid w:val="0043562B"/>
    <w:rsid w:val="00436348"/>
    <w:rsid w:val="00442017"/>
    <w:rsid w:val="00443ACB"/>
    <w:rsid w:val="00445F34"/>
    <w:rsid w:val="00453B60"/>
    <w:rsid w:val="00456893"/>
    <w:rsid w:val="00456DB6"/>
    <w:rsid w:val="004662E0"/>
    <w:rsid w:val="004748BE"/>
    <w:rsid w:val="00474B57"/>
    <w:rsid w:val="00477AA9"/>
    <w:rsid w:val="00482B6C"/>
    <w:rsid w:val="00483896"/>
    <w:rsid w:val="004840BB"/>
    <w:rsid w:val="00484269"/>
    <w:rsid w:val="00486F13"/>
    <w:rsid w:val="00492719"/>
    <w:rsid w:val="00494CD2"/>
    <w:rsid w:val="0049534E"/>
    <w:rsid w:val="00496B62"/>
    <w:rsid w:val="0049779F"/>
    <w:rsid w:val="004A371B"/>
    <w:rsid w:val="004A76B7"/>
    <w:rsid w:val="004B36AC"/>
    <w:rsid w:val="004B4437"/>
    <w:rsid w:val="004B6DA5"/>
    <w:rsid w:val="004C0BC5"/>
    <w:rsid w:val="004C1495"/>
    <w:rsid w:val="004C1C97"/>
    <w:rsid w:val="004C22E6"/>
    <w:rsid w:val="004C3F0E"/>
    <w:rsid w:val="004C5C8E"/>
    <w:rsid w:val="004D13AB"/>
    <w:rsid w:val="004D26F4"/>
    <w:rsid w:val="004D5EC1"/>
    <w:rsid w:val="004E3F96"/>
    <w:rsid w:val="004E5057"/>
    <w:rsid w:val="004E70EC"/>
    <w:rsid w:val="004F73B4"/>
    <w:rsid w:val="004F7F13"/>
    <w:rsid w:val="00500816"/>
    <w:rsid w:val="00500CFB"/>
    <w:rsid w:val="0050243F"/>
    <w:rsid w:val="005051B1"/>
    <w:rsid w:val="00507A79"/>
    <w:rsid w:val="00520E36"/>
    <w:rsid w:val="00521E79"/>
    <w:rsid w:val="005220F9"/>
    <w:rsid w:val="0052381B"/>
    <w:rsid w:val="00523AF9"/>
    <w:rsid w:val="005270F9"/>
    <w:rsid w:val="00530A3C"/>
    <w:rsid w:val="00531032"/>
    <w:rsid w:val="005343F4"/>
    <w:rsid w:val="00537975"/>
    <w:rsid w:val="00541201"/>
    <w:rsid w:val="00542193"/>
    <w:rsid w:val="00542851"/>
    <w:rsid w:val="00543535"/>
    <w:rsid w:val="00546D5F"/>
    <w:rsid w:val="005479B5"/>
    <w:rsid w:val="005503F1"/>
    <w:rsid w:val="00552C81"/>
    <w:rsid w:val="00552CE9"/>
    <w:rsid w:val="00552F9B"/>
    <w:rsid w:val="0055459A"/>
    <w:rsid w:val="00555C55"/>
    <w:rsid w:val="0056045C"/>
    <w:rsid w:val="00563B76"/>
    <w:rsid w:val="0056601A"/>
    <w:rsid w:val="00575736"/>
    <w:rsid w:val="00582A01"/>
    <w:rsid w:val="00583F52"/>
    <w:rsid w:val="00587AE2"/>
    <w:rsid w:val="00591E9D"/>
    <w:rsid w:val="005922BD"/>
    <w:rsid w:val="00593179"/>
    <w:rsid w:val="005938B6"/>
    <w:rsid w:val="00594E8A"/>
    <w:rsid w:val="00595F7D"/>
    <w:rsid w:val="00596889"/>
    <w:rsid w:val="00597BD1"/>
    <w:rsid w:val="005A0791"/>
    <w:rsid w:val="005A6D8A"/>
    <w:rsid w:val="005A6F01"/>
    <w:rsid w:val="005A734A"/>
    <w:rsid w:val="005A7BB9"/>
    <w:rsid w:val="005B07F8"/>
    <w:rsid w:val="005B0E20"/>
    <w:rsid w:val="005B156E"/>
    <w:rsid w:val="005B32B6"/>
    <w:rsid w:val="005B3DA2"/>
    <w:rsid w:val="005B4108"/>
    <w:rsid w:val="005B68DC"/>
    <w:rsid w:val="005C2414"/>
    <w:rsid w:val="005D6392"/>
    <w:rsid w:val="005E184A"/>
    <w:rsid w:val="005E4803"/>
    <w:rsid w:val="005E5730"/>
    <w:rsid w:val="005F074B"/>
    <w:rsid w:val="005F095B"/>
    <w:rsid w:val="005F433C"/>
    <w:rsid w:val="005F44CF"/>
    <w:rsid w:val="005F52BC"/>
    <w:rsid w:val="005F538E"/>
    <w:rsid w:val="005F74B4"/>
    <w:rsid w:val="005F7DED"/>
    <w:rsid w:val="00600267"/>
    <w:rsid w:val="00600DA7"/>
    <w:rsid w:val="00602438"/>
    <w:rsid w:val="00604274"/>
    <w:rsid w:val="00605B12"/>
    <w:rsid w:val="00610AA5"/>
    <w:rsid w:val="0061438F"/>
    <w:rsid w:val="006161EC"/>
    <w:rsid w:val="00617522"/>
    <w:rsid w:val="006203FA"/>
    <w:rsid w:val="006224B3"/>
    <w:rsid w:val="006228CB"/>
    <w:rsid w:val="00622D3C"/>
    <w:rsid w:val="0062537B"/>
    <w:rsid w:val="00625ADE"/>
    <w:rsid w:val="0062672D"/>
    <w:rsid w:val="006276EF"/>
    <w:rsid w:val="006331A4"/>
    <w:rsid w:val="006341A2"/>
    <w:rsid w:val="00641200"/>
    <w:rsid w:val="00643886"/>
    <w:rsid w:val="00646DFE"/>
    <w:rsid w:val="006472CF"/>
    <w:rsid w:val="006514B6"/>
    <w:rsid w:val="0065501C"/>
    <w:rsid w:val="00661842"/>
    <w:rsid w:val="00661EDB"/>
    <w:rsid w:val="00662A03"/>
    <w:rsid w:val="00662E9E"/>
    <w:rsid w:val="00663CFE"/>
    <w:rsid w:val="00664266"/>
    <w:rsid w:val="006642B7"/>
    <w:rsid w:val="00665387"/>
    <w:rsid w:val="00666FA6"/>
    <w:rsid w:val="00670D2E"/>
    <w:rsid w:val="00675035"/>
    <w:rsid w:val="00681850"/>
    <w:rsid w:val="00682F69"/>
    <w:rsid w:val="00683383"/>
    <w:rsid w:val="0068406E"/>
    <w:rsid w:val="00684688"/>
    <w:rsid w:val="00685292"/>
    <w:rsid w:val="006866B6"/>
    <w:rsid w:val="00686FDB"/>
    <w:rsid w:val="00687E93"/>
    <w:rsid w:val="00690F54"/>
    <w:rsid w:val="006916FE"/>
    <w:rsid w:val="00691A38"/>
    <w:rsid w:val="0069282C"/>
    <w:rsid w:val="00694CC2"/>
    <w:rsid w:val="006A0AFA"/>
    <w:rsid w:val="006A1F4D"/>
    <w:rsid w:val="006A5FD4"/>
    <w:rsid w:val="006A73CA"/>
    <w:rsid w:val="006B0DA8"/>
    <w:rsid w:val="006B0F6A"/>
    <w:rsid w:val="006B2304"/>
    <w:rsid w:val="006B3B4A"/>
    <w:rsid w:val="006B3D3D"/>
    <w:rsid w:val="006B43DD"/>
    <w:rsid w:val="006B5198"/>
    <w:rsid w:val="006B5558"/>
    <w:rsid w:val="006C2CB4"/>
    <w:rsid w:val="006D0E5E"/>
    <w:rsid w:val="006D152A"/>
    <w:rsid w:val="006D2057"/>
    <w:rsid w:val="006D4C58"/>
    <w:rsid w:val="006D4C8A"/>
    <w:rsid w:val="006D528F"/>
    <w:rsid w:val="006D6E67"/>
    <w:rsid w:val="006E0711"/>
    <w:rsid w:val="006E490C"/>
    <w:rsid w:val="006E5204"/>
    <w:rsid w:val="006E5AA4"/>
    <w:rsid w:val="006E6707"/>
    <w:rsid w:val="006F32D7"/>
    <w:rsid w:val="006F3D2F"/>
    <w:rsid w:val="006F56E5"/>
    <w:rsid w:val="006F703E"/>
    <w:rsid w:val="00702C33"/>
    <w:rsid w:val="007038E8"/>
    <w:rsid w:val="00703FA8"/>
    <w:rsid w:val="00705CAF"/>
    <w:rsid w:val="0070741E"/>
    <w:rsid w:val="00711F7E"/>
    <w:rsid w:val="00713616"/>
    <w:rsid w:val="00714A6D"/>
    <w:rsid w:val="00717279"/>
    <w:rsid w:val="0071751A"/>
    <w:rsid w:val="00720263"/>
    <w:rsid w:val="0072295B"/>
    <w:rsid w:val="0072332E"/>
    <w:rsid w:val="00723A22"/>
    <w:rsid w:val="00724206"/>
    <w:rsid w:val="00726861"/>
    <w:rsid w:val="00730454"/>
    <w:rsid w:val="00731CEF"/>
    <w:rsid w:val="00732AED"/>
    <w:rsid w:val="0073375C"/>
    <w:rsid w:val="00736614"/>
    <w:rsid w:val="0073676A"/>
    <w:rsid w:val="007368AF"/>
    <w:rsid w:val="007372FF"/>
    <w:rsid w:val="007374DF"/>
    <w:rsid w:val="00741374"/>
    <w:rsid w:val="00741F14"/>
    <w:rsid w:val="0074219A"/>
    <w:rsid w:val="007422E5"/>
    <w:rsid w:val="00742D0B"/>
    <w:rsid w:val="00744656"/>
    <w:rsid w:val="0074555A"/>
    <w:rsid w:val="00746BA0"/>
    <w:rsid w:val="00750608"/>
    <w:rsid w:val="00750BE1"/>
    <w:rsid w:val="00750E43"/>
    <w:rsid w:val="00752476"/>
    <w:rsid w:val="00752995"/>
    <w:rsid w:val="00754F28"/>
    <w:rsid w:val="00760E8B"/>
    <w:rsid w:val="00762B07"/>
    <w:rsid w:val="0076657D"/>
    <w:rsid w:val="007666ED"/>
    <w:rsid w:val="007677FD"/>
    <w:rsid w:val="00773C8B"/>
    <w:rsid w:val="00774AB2"/>
    <w:rsid w:val="00776281"/>
    <w:rsid w:val="00777311"/>
    <w:rsid w:val="00777F58"/>
    <w:rsid w:val="00781669"/>
    <w:rsid w:val="0078283F"/>
    <w:rsid w:val="007832DD"/>
    <w:rsid w:val="00792E48"/>
    <w:rsid w:val="007948FC"/>
    <w:rsid w:val="007A0109"/>
    <w:rsid w:val="007A5642"/>
    <w:rsid w:val="007A5953"/>
    <w:rsid w:val="007A5BEC"/>
    <w:rsid w:val="007A5E56"/>
    <w:rsid w:val="007A6E7B"/>
    <w:rsid w:val="007A7A95"/>
    <w:rsid w:val="007B0475"/>
    <w:rsid w:val="007C0A62"/>
    <w:rsid w:val="007C491C"/>
    <w:rsid w:val="007C5BB4"/>
    <w:rsid w:val="007C5F4E"/>
    <w:rsid w:val="007C60C8"/>
    <w:rsid w:val="007C6D97"/>
    <w:rsid w:val="007D0F42"/>
    <w:rsid w:val="007D10D6"/>
    <w:rsid w:val="007D2F48"/>
    <w:rsid w:val="007D5032"/>
    <w:rsid w:val="007D6A33"/>
    <w:rsid w:val="007D7CF8"/>
    <w:rsid w:val="007E5000"/>
    <w:rsid w:val="007E584D"/>
    <w:rsid w:val="007E66E0"/>
    <w:rsid w:val="007F0095"/>
    <w:rsid w:val="007F0DCA"/>
    <w:rsid w:val="007F4B34"/>
    <w:rsid w:val="007F6FBA"/>
    <w:rsid w:val="00801807"/>
    <w:rsid w:val="00802861"/>
    <w:rsid w:val="00810FAF"/>
    <w:rsid w:val="00811EE5"/>
    <w:rsid w:val="0081415C"/>
    <w:rsid w:val="0081544C"/>
    <w:rsid w:val="00815A5E"/>
    <w:rsid w:val="008208E8"/>
    <w:rsid w:val="00820919"/>
    <w:rsid w:val="00823036"/>
    <w:rsid w:val="00823713"/>
    <w:rsid w:val="00823D87"/>
    <w:rsid w:val="00826BF6"/>
    <w:rsid w:val="00826C1D"/>
    <w:rsid w:val="0082701C"/>
    <w:rsid w:val="00827C1F"/>
    <w:rsid w:val="00830A4A"/>
    <w:rsid w:val="00832B1E"/>
    <w:rsid w:val="00833B09"/>
    <w:rsid w:val="0083541C"/>
    <w:rsid w:val="00836E40"/>
    <w:rsid w:val="00836E49"/>
    <w:rsid w:val="00836EE4"/>
    <w:rsid w:val="00841B49"/>
    <w:rsid w:val="0084406C"/>
    <w:rsid w:val="00844131"/>
    <w:rsid w:val="00846FA7"/>
    <w:rsid w:val="00851CD3"/>
    <w:rsid w:val="008528A3"/>
    <w:rsid w:val="00854CE7"/>
    <w:rsid w:val="00854FA5"/>
    <w:rsid w:val="00855A7C"/>
    <w:rsid w:val="00860E4D"/>
    <w:rsid w:val="0086117C"/>
    <w:rsid w:val="00861C44"/>
    <w:rsid w:val="00862CA0"/>
    <w:rsid w:val="008648B2"/>
    <w:rsid w:val="00870E0A"/>
    <w:rsid w:val="008720E8"/>
    <w:rsid w:val="00874CF9"/>
    <w:rsid w:val="00874E54"/>
    <w:rsid w:val="00875EDC"/>
    <w:rsid w:val="0087742E"/>
    <w:rsid w:val="00877EBB"/>
    <w:rsid w:val="00880775"/>
    <w:rsid w:val="00881224"/>
    <w:rsid w:val="00881B99"/>
    <w:rsid w:val="00883D09"/>
    <w:rsid w:val="0088514C"/>
    <w:rsid w:val="00885349"/>
    <w:rsid w:val="0088567D"/>
    <w:rsid w:val="00885FCD"/>
    <w:rsid w:val="008868C8"/>
    <w:rsid w:val="008868E5"/>
    <w:rsid w:val="00886EA2"/>
    <w:rsid w:val="008872E9"/>
    <w:rsid w:val="0088736E"/>
    <w:rsid w:val="00887E16"/>
    <w:rsid w:val="008903F1"/>
    <w:rsid w:val="00891783"/>
    <w:rsid w:val="00894F2A"/>
    <w:rsid w:val="00896526"/>
    <w:rsid w:val="00896F05"/>
    <w:rsid w:val="00897E5C"/>
    <w:rsid w:val="008A32C2"/>
    <w:rsid w:val="008A4437"/>
    <w:rsid w:val="008A5BBB"/>
    <w:rsid w:val="008A6BB9"/>
    <w:rsid w:val="008A6E66"/>
    <w:rsid w:val="008B1EAB"/>
    <w:rsid w:val="008B314F"/>
    <w:rsid w:val="008C162B"/>
    <w:rsid w:val="008C4003"/>
    <w:rsid w:val="008C57CE"/>
    <w:rsid w:val="008C7165"/>
    <w:rsid w:val="008D5D10"/>
    <w:rsid w:val="008D5E5E"/>
    <w:rsid w:val="008E0321"/>
    <w:rsid w:val="008E0F50"/>
    <w:rsid w:val="008E4FCC"/>
    <w:rsid w:val="008E6674"/>
    <w:rsid w:val="008F0D5F"/>
    <w:rsid w:val="008F132B"/>
    <w:rsid w:val="008F28EC"/>
    <w:rsid w:val="00900967"/>
    <w:rsid w:val="00902ACA"/>
    <w:rsid w:val="00904A8F"/>
    <w:rsid w:val="00906212"/>
    <w:rsid w:val="00910C26"/>
    <w:rsid w:val="009125E7"/>
    <w:rsid w:val="009131ED"/>
    <w:rsid w:val="00913491"/>
    <w:rsid w:val="00914EBB"/>
    <w:rsid w:val="00917E56"/>
    <w:rsid w:val="009209C1"/>
    <w:rsid w:val="00921000"/>
    <w:rsid w:val="00921DB3"/>
    <w:rsid w:val="00922D43"/>
    <w:rsid w:val="00923F88"/>
    <w:rsid w:val="00924BD0"/>
    <w:rsid w:val="00925AEE"/>
    <w:rsid w:val="00927CF1"/>
    <w:rsid w:val="00927F74"/>
    <w:rsid w:val="00931560"/>
    <w:rsid w:val="00931659"/>
    <w:rsid w:val="009323CD"/>
    <w:rsid w:val="0094060A"/>
    <w:rsid w:val="00941D1B"/>
    <w:rsid w:val="00942061"/>
    <w:rsid w:val="0094529A"/>
    <w:rsid w:val="009518FA"/>
    <w:rsid w:val="00956228"/>
    <w:rsid w:val="0095736F"/>
    <w:rsid w:val="00960598"/>
    <w:rsid w:val="00961249"/>
    <w:rsid w:val="00961594"/>
    <w:rsid w:val="00961A9D"/>
    <w:rsid w:val="00970CDF"/>
    <w:rsid w:val="00973898"/>
    <w:rsid w:val="00974E0E"/>
    <w:rsid w:val="00976977"/>
    <w:rsid w:val="00981EA5"/>
    <w:rsid w:val="00985E2C"/>
    <w:rsid w:val="00986AAD"/>
    <w:rsid w:val="00987691"/>
    <w:rsid w:val="00987E83"/>
    <w:rsid w:val="00992482"/>
    <w:rsid w:val="0099685F"/>
    <w:rsid w:val="009969D5"/>
    <w:rsid w:val="009A1DA6"/>
    <w:rsid w:val="009A5845"/>
    <w:rsid w:val="009A79E2"/>
    <w:rsid w:val="009B1DA8"/>
    <w:rsid w:val="009B1EA2"/>
    <w:rsid w:val="009B5D65"/>
    <w:rsid w:val="009B6732"/>
    <w:rsid w:val="009C01C6"/>
    <w:rsid w:val="009C48FE"/>
    <w:rsid w:val="009C4E81"/>
    <w:rsid w:val="009C4F29"/>
    <w:rsid w:val="009C6608"/>
    <w:rsid w:val="009C7475"/>
    <w:rsid w:val="009C7E63"/>
    <w:rsid w:val="009D370C"/>
    <w:rsid w:val="009D6DFF"/>
    <w:rsid w:val="009E0DB7"/>
    <w:rsid w:val="009E2175"/>
    <w:rsid w:val="009E2656"/>
    <w:rsid w:val="009E3377"/>
    <w:rsid w:val="009F4905"/>
    <w:rsid w:val="009F6311"/>
    <w:rsid w:val="00A041E4"/>
    <w:rsid w:val="00A06AD2"/>
    <w:rsid w:val="00A06DF2"/>
    <w:rsid w:val="00A103F3"/>
    <w:rsid w:val="00A1393E"/>
    <w:rsid w:val="00A14B8D"/>
    <w:rsid w:val="00A16130"/>
    <w:rsid w:val="00A16A07"/>
    <w:rsid w:val="00A267FA"/>
    <w:rsid w:val="00A308EF"/>
    <w:rsid w:val="00A337D9"/>
    <w:rsid w:val="00A342D8"/>
    <w:rsid w:val="00A3670F"/>
    <w:rsid w:val="00A429C5"/>
    <w:rsid w:val="00A45F72"/>
    <w:rsid w:val="00A52C0B"/>
    <w:rsid w:val="00A549EB"/>
    <w:rsid w:val="00A5579F"/>
    <w:rsid w:val="00A55DB6"/>
    <w:rsid w:val="00A5711C"/>
    <w:rsid w:val="00A57314"/>
    <w:rsid w:val="00A60A9A"/>
    <w:rsid w:val="00A6144A"/>
    <w:rsid w:val="00A61C0C"/>
    <w:rsid w:val="00A61F3E"/>
    <w:rsid w:val="00A62196"/>
    <w:rsid w:val="00A63043"/>
    <w:rsid w:val="00A637B1"/>
    <w:rsid w:val="00A645AC"/>
    <w:rsid w:val="00A662E4"/>
    <w:rsid w:val="00A66F95"/>
    <w:rsid w:val="00A67BBB"/>
    <w:rsid w:val="00A7121C"/>
    <w:rsid w:val="00A746D7"/>
    <w:rsid w:val="00A74E02"/>
    <w:rsid w:val="00A7611D"/>
    <w:rsid w:val="00A81657"/>
    <w:rsid w:val="00A81E99"/>
    <w:rsid w:val="00A82D00"/>
    <w:rsid w:val="00A82EBB"/>
    <w:rsid w:val="00A86B54"/>
    <w:rsid w:val="00A86F7F"/>
    <w:rsid w:val="00A87F8A"/>
    <w:rsid w:val="00A9008D"/>
    <w:rsid w:val="00A90CF5"/>
    <w:rsid w:val="00A92163"/>
    <w:rsid w:val="00AA10B1"/>
    <w:rsid w:val="00AA1166"/>
    <w:rsid w:val="00AA1176"/>
    <w:rsid w:val="00AA330E"/>
    <w:rsid w:val="00AA3F4F"/>
    <w:rsid w:val="00AA4DDD"/>
    <w:rsid w:val="00AA5727"/>
    <w:rsid w:val="00AB09A4"/>
    <w:rsid w:val="00AB38E0"/>
    <w:rsid w:val="00AB54E3"/>
    <w:rsid w:val="00AB6B0F"/>
    <w:rsid w:val="00AB6E8E"/>
    <w:rsid w:val="00AB7294"/>
    <w:rsid w:val="00AC00B8"/>
    <w:rsid w:val="00AC0655"/>
    <w:rsid w:val="00AC06DB"/>
    <w:rsid w:val="00AC238E"/>
    <w:rsid w:val="00AD2B86"/>
    <w:rsid w:val="00AD59B7"/>
    <w:rsid w:val="00AD5F16"/>
    <w:rsid w:val="00AD6F0A"/>
    <w:rsid w:val="00AD7954"/>
    <w:rsid w:val="00AE25B4"/>
    <w:rsid w:val="00AE3FE3"/>
    <w:rsid w:val="00AE5F26"/>
    <w:rsid w:val="00AF284F"/>
    <w:rsid w:val="00AF43E9"/>
    <w:rsid w:val="00AF4D88"/>
    <w:rsid w:val="00AF5053"/>
    <w:rsid w:val="00AF5516"/>
    <w:rsid w:val="00AF5D9A"/>
    <w:rsid w:val="00B01137"/>
    <w:rsid w:val="00B01331"/>
    <w:rsid w:val="00B013EB"/>
    <w:rsid w:val="00B01A54"/>
    <w:rsid w:val="00B06550"/>
    <w:rsid w:val="00B07FB5"/>
    <w:rsid w:val="00B10357"/>
    <w:rsid w:val="00B1108C"/>
    <w:rsid w:val="00B11998"/>
    <w:rsid w:val="00B11A66"/>
    <w:rsid w:val="00B12E54"/>
    <w:rsid w:val="00B13E3F"/>
    <w:rsid w:val="00B25AF6"/>
    <w:rsid w:val="00B27D54"/>
    <w:rsid w:val="00B313C9"/>
    <w:rsid w:val="00B31860"/>
    <w:rsid w:val="00B32947"/>
    <w:rsid w:val="00B3420E"/>
    <w:rsid w:val="00B34ED1"/>
    <w:rsid w:val="00B357A0"/>
    <w:rsid w:val="00B3617D"/>
    <w:rsid w:val="00B36B3A"/>
    <w:rsid w:val="00B40EEA"/>
    <w:rsid w:val="00B40F3E"/>
    <w:rsid w:val="00B429AB"/>
    <w:rsid w:val="00B46926"/>
    <w:rsid w:val="00B52EE6"/>
    <w:rsid w:val="00B602ED"/>
    <w:rsid w:val="00B6114B"/>
    <w:rsid w:val="00B61D34"/>
    <w:rsid w:val="00B62A2E"/>
    <w:rsid w:val="00B63556"/>
    <w:rsid w:val="00B64C60"/>
    <w:rsid w:val="00B64EC4"/>
    <w:rsid w:val="00B65CF6"/>
    <w:rsid w:val="00B70365"/>
    <w:rsid w:val="00B709E7"/>
    <w:rsid w:val="00B70F4B"/>
    <w:rsid w:val="00B71F62"/>
    <w:rsid w:val="00B75B51"/>
    <w:rsid w:val="00B77491"/>
    <w:rsid w:val="00B77A0C"/>
    <w:rsid w:val="00B801F3"/>
    <w:rsid w:val="00B8589A"/>
    <w:rsid w:val="00B86619"/>
    <w:rsid w:val="00B91ADD"/>
    <w:rsid w:val="00B9212A"/>
    <w:rsid w:val="00BA0D1C"/>
    <w:rsid w:val="00BA2875"/>
    <w:rsid w:val="00BA2EF4"/>
    <w:rsid w:val="00BA6D3A"/>
    <w:rsid w:val="00BA75B6"/>
    <w:rsid w:val="00BB0210"/>
    <w:rsid w:val="00BB2BA0"/>
    <w:rsid w:val="00BB4A6D"/>
    <w:rsid w:val="00BB7FAC"/>
    <w:rsid w:val="00BC5762"/>
    <w:rsid w:val="00BC7354"/>
    <w:rsid w:val="00BC762D"/>
    <w:rsid w:val="00BD07AE"/>
    <w:rsid w:val="00BD2C25"/>
    <w:rsid w:val="00BD4163"/>
    <w:rsid w:val="00BD4CC7"/>
    <w:rsid w:val="00BD505A"/>
    <w:rsid w:val="00BE0D32"/>
    <w:rsid w:val="00BE3143"/>
    <w:rsid w:val="00BE3778"/>
    <w:rsid w:val="00BE59D9"/>
    <w:rsid w:val="00BE7B48"/>
    <w:rsid w:val="00BF31F4"/>
    <w:rsid w:val="00BF3D48"/>
    <w:rsid w:val="00BF6F84"/>
    <w:rsid w:val="00C0265F"/>
    <w:rsid w:val="00C02ABC"/>
    <w:rsid w:val="00C02CED"/>
    <w:rsid w:val="00C03254"/>
    <w:rsid w:val="00C07319"/>
    <w:rsid w:val="00C10A44"/>
    <w:rsid w:val="00C11CB4"/>
    <w:rsid w:val="00C1433D"/>
    <w:rsid w:val="00C16A92"/>
    <w:rsid w:val="00C179F6"/>
    <w:rsid w:val="00C27B02"/>
    <w:rsid w:val="00C306DA"/>
    <w:rsid w:val="00C309EB"/>
    <w:rsid w:val="00C31284"/>
    <w:rsid w:val="00C3181C"/>
    <w:rsid w:val="00C335A1"/>
    <w:rsid w:val="00C33FAE"/>
    <w:rsid w:val="00C353C3"/>
    <w:rsid w:val="00C35DD9"/>
    <w:rsid w:val="00C42978"/>
    <w:rsid w:val="00C4297C"/>
    <w:rsid w:val="00C438B8"/>
    <w:rsid w:val="00C43BD0"/>
    <w:rsid w:val="00C46921"/>
    <w:rsid w:val="00C47419"/>
    <w:rsid w:val="00C51DDA"/>
    <w:rsid w:val="00C54679"/>
    <w:rsid w:val="00C550D3"/>
    <w:rsid w:val="00C55BE2"/>
    <w:rsid w:val="00C56A5A"/>
    <w:rsid w:val="00C61100"/>
    <w:rsid w:val="00C61992"/>
    <w:rsid w:val="00C61E4F"/>
    <w:rsid w:val="00C643CD"/>
    <w:rsid w:val="00C645F4"/>
    <w:rsid w:val="00C64B48"/>
    <w:rsid w:val="00C6507A"/>
    <w:rsid w:val="00C6555B"/>
    <w:rsid w:val="00C6555E"/>
    <w:rsid w:val="00C665C4"/>
    <w:rsid w:val="00C722D8"/>
    <w:rsid w:val="00C72DAA"/>
    <w:rsid w:val="00C736DF"/>
    <w:rsid w:val="00C7376B"/>
    <w:rsid w:val="00C758D8"/>
    <w:rsid w:val="00C871B6"/>
    <w:rsid w:val="00C873A7"/>
    <w:rsid w:val="00C873C3"/>
    <w:rsid w:val="00C90205"/>
    <w:rsid w:val="00C90B43"/>
    <w:rsid w:val="00C9153C"/>
    <w:rsid w:val="00C91D67"/>
    <w:rsid w:val="00C93021"/>
    <w:rsid w:val="00C94454"/>
    <w:rsid w:val="00C96067"/>
    <w:rsid w:val="00CA0CCC"/>
    <w:rsid w:val="00CA5DFF"/>
    <w:rsid w:val="00CA67AC"/>
    <w:rsid w:val="00CB174F"/>
    <w:rsid w:val="00CB3193"/>
    <w:rsid w:val="00CB4122"/>
    <w:rsid w:val="00CB426E"/>
    <w:rsid w:val="00CC446B"/>
    <w:rsid w:val="00CD08B6"/>
    <w:rsid w:val="00CD1251"/>
    <w:rsid w:val="00CD20D4"/>
    <w:rsid w:val="00CD26B6"/>
    <w:rsid w:val="00CD3A7C"/>
    <w:rsid w:val="00CD42B5"/>
    <w:rsid w:val="00CD4BA2"/>
    <w:rsid w:val="00CD5DC6"/>
    <w:rsid w:val="00CD6A7D"/>
    <w:rsid w:val="00CD7D36"/>
    <w:rsid w:val="00CE0879"/>
    <w:rsid w:val="00CE2E84"/>
    <w:rsid w:val="00CE304C"/>
    <w:rsid w:val="00CE62CD"/>
    <w:rsid w:val="00CE666C"/>
    <w:rsid w:val="00CF1341"/>
    <w:rsid w:val="00CF5664"/>
    <w:rsid w:val="00D05663"/>
    <w:rsid w:val="00D0637B"/>
    <w:rsid w:val="00D101F7"/>
    <w:rsid w:val="00D126F0"/>
    <w:rsid w:val="00D12C64"/>
    <w:rsid w:val="00D21B4A"/>
    <w:rsid w:val="00D22804"/>
    <w:rsid w:val="00D26C2F"/>
    <w:rsid w:val="00D27918"/>
    <w:rsid w:val="00D31319"/>
    <w:rsid w:val="00D32085"/>
    <w:rsid w:val="00D325AA"/>
    <w:rsid w:val="00D34E10"/>
    <w:rsid w:val="00D36C9B"/>
    <w:rsid w:val="00D42224"/>
    <w:rsid w:val="00D45200"/>
    <w:rsid w:val="00D456BE"/>
    <w:rsid w:val="00D45947"/>
    <w:rsid w:val="00D46212"/>
    <w:rsid w:val="00D46BAA"/>
    <w:rsid w:val="00D47AF0"/>
    <w:rsid w:val="00D50421"/>
    <w:rsid w:val="00D516A0"/>
    <w:rsid w:val="00D5342B"/>
    <w:rsid w:val="00D5450F"/>
    <w:rsid w:val="00D549ED"/>
    <w:rsid w:val="00D55DBC"/>
    <w:rsid w:val="00D61D06"/>
    <w:rsid w:val="00D62AB9"/>
    <w:rsid w:val="00D6330F"/>
    <w:rsid w:val="00D6531A"/>
    <w:rsid w:val="00D67175"/>
    <w:rsid w:val="00D67DA6"/>
    <w:rsid w:val="00D70AF1"/>
    <w:rsid w:val="00D70F7A"/>
    <w:rsid w:val="00D71FD9"/>
    <w:rsid w:val="00D72061"/>
    <w:rsid w:val="00D7238E"/>
    <w:rsid w:val="00D74CAB"/>
    <w:rsid w:val="00D755F3"/>
    <w:rsid w:val="00D76827"/>
    <w:rsid w:val="00D8101D"/>
    <w:rsid w:val="00D852D4"/>
    <w:rsid w:val="00D86314"/>
    <w:rsid w:val="00D866F4"/>
    <w:rsid w:val="00D87B25"/>
    <w:rsid w:val="00D911DE"/>
    <w:rsid w:val="00D91DFD"/>
    <w:rsid w:val="00D92796"/>
    <w:rsid w:val="00D96F56"/>
    <w:rsid w:val="00DA17A5"/>
    <w:rsid w:val="00DA5507"/>
    <w:rsid w:val="00DB05B5"/>
    <w:rsid w:val="00DB0748"/>
    <w:rsid w:val="00DB2649"/>
    <w:rsid w:val="00DB6105"/>
    <w:rsid w:val="00DB66FB"/>
    <w:rsid w:val="00DB7C60"/>
    <w:rsid w:val="00DC0552"/>
    <w:rsid w:val="00DC4414"/>
    <w:rsid w:val="00DD058A"/>
    <w:rsid w:val="00DD2ED7"/>
    <w:rsid w:val="00DD6EE4"/>
    <w:rsid w:val="00DD71BA"/>
    <w:rsid w:val="00DD75BF"/>
    <w:rsid w:val="00DE14EF"/>
    <w:rsid w:val="00DE402F"/>
    <w:rsid w:val="00DE51D3"/>
    <w:rsid w:val="00DE6174"/>
    <w:rsid w:val="00DF1712"/>
    <w:rsid w:val="00DF3B43"/>
    <w:rsid w:val="00DF3E06"/>
    <w:rsid w:val="00DF5AC2"/>
    <w:rsid w:val="00DF7488"/>
    <w:rsid w:val="00E01A4C"/>
    <w:rsid w:val="00E020D7"/>
    <w:rsid w:val="00E02995"/>
    <w:rsid w:val="00E03EB0"/>
    <w:rsid w:val="00E0692B"/>
    <w:rsid w:val="00E07D3A"/>
    <w:rsid w:val="00E10EE3"/>
    <w:rsid w:val="00E11D1E"/>
    <w:rsid w:val="00E16058"/>
    <w:rsid w:val="00E20BE6"/>
    <w:rsid w:val="00E21C1F"/>
    <w:rsid w:val="00E23350"/>
    <w:rsid w:val="00E2414E"/>
    <w:rsid w:val="00E27636"/>
    <w:rsid w:val="00E31E78"/>
    <w:rsid w:val="00E32081"/>
    <w:rsid w:val="00E32F57"/>
    <w:rsid w:val="00E342CB"/>
    <w:rsid w:val="00E362F9"/>
    <w:rsid w:val="00E37142"/>
    <w:rsid w:val="00E41570"/>
    <w:rsid w:val="00E417D7"/>
    <w:rsid w:val="00E41ADD"/>
    <w:rsid w:val="00E42E41"/>
    <w:rsid w:val="00E431BD"/>
    <w:rsid w:val="00E4748A"/>
    <w:rsid w:val="00E511EF"/>
    <w:rsid w:val="00E5319C"/>
    <w:rsid w:val="00E5481B"/>
    <w:rsid w:val="00E56FBE"/>
    <w:rsid w:val="00E57FB0"/>
    <w:rsid w:val="00E62BC2"/>
    <w:rsid w:val="00E6331A"/>
    <w:rsid w:val="00E64B71"/>
    <w:rsid w:val="00E6502A"/>
    <w:rsid w:val="00E65FEB"/>
    <w:rsid w:val="00E66BD6"/>
    <w:rsid w:val="00E67C17"/>
    <w:rsid w:val="00E73537"/>
    <w:rsid w:val="00E7409B"/>
    <w:rsid w:val="00E753E4"/>
    <w:rsid w:val="00E7647C"/>
    <w:rsid w:val="00E816A1"/>
    <w:rsid w:val="00E8643B"/>
    <w:rsid w:val="00E86D34"/>
    <w:rsid w:val="00E879F4"/>
    <w:rsid w:val="00E91877"/>
    <w:rsid w:val="00E92169"/>
    <w:rsid w:val="00E93302"/>
    <w:rsid w:val="00E939B6"/>
    <w:rsid w:val="00E93AC5"/>
    <w:rsid w:val="00E974CA"/>
    <w:rsid w:val="00EA13E3"/>
    <w:rsid w:val="00EA1742"/>
    <w:rsid w:val="00EA226A"/>
    <w:rsid w:val="00EA4B5C"/>
    <w:rsid w:val="00EA676D"/>
    <w:rsid w:val="00EA7587"/>
    <w:rsid w:val="00EB0AF0"/>
    <w:rsid w:val="00EB0F8C"/>
    <w:rsid w:val="00EB184B"/>
    <w:rsid w:val="00EC5BF6"/>
    <w:rsid w:val="00EC74A9"/>
    <w:rsid w:val="00ED038F"/>
    <w:rsid w:val="00ED365F"/>
    <w:rsid w:val="00ED3A50"/>
    <w:rsid w:val="00ED4840"/>
    <w:rsid w:val="00ED4FAB"/>
    <w:rsid w:val="00EE36AB"/>
    <w:rsid w:val="00EE5AA6"/>
    <w:rsid w:val="00EE77FE"/>
    <w:rsid w:val="00EF34C9"/>
    <w:rsid w:val="00EF6952"/>
    <w:rsid w:val="00F005AA"/>
    <w:rsid w:val="00F00B22"/>
    <w:rsid w:val="00F021EC"/>
    <w:rsid w:val="00F03585"/>
    <w:rsid w:val="00F04BD7"/>
    <w:rsid w:val="00F04F9E"/>
    <w:rsid w:val="00F07878"/>
    <w:rsid w:val="00F07C02"/>
    <w:rsid w:val="00F104BA"/>
    <w:rsid w:val="00F11171"/>
    <w:rsid w:val="00F14C8D"/>
    <w:rsid w:val="00F17100"/>
    <w:rsid w:val="00F17DBF"/>
    <w:rsid w:val="00F21285"/>
    <w:rsid w:val="00F21EAF"/>
    <w:rsid w:val="00F22003"/>
    <w:rsid w:val="00F2333F"/>
    <w:rsid w:val="00F23724"/>
    <w:rsid w:val="00F25A1C"/>
    <w:rsid w:val="00F25D32"/>
    <w:rsid w:val="00F2746C"/>
    <w:rsid w:val="00F278A7"/>
    <w:rsid w:val="00F326D2"/>
    <w:rsid w:val="00F331F7"/>
    <w:rsid w:val="00F36B50"/>
    <w:rsid w:val="00F37211"/>
    <w:rsid w:val="00F37EBE"/>
    <w:rsid w:val="00F4444B"/>
    <w:rsid w:val="00F44BC2"/>
    <w:rsid w:val="00F47F74"/>
    <w:rsid w:val="00F5343B"/>
    <w:rsid w:val="00F54157"/>
    <w:rsid w:val="00F54485"/>
    <w:rsid w:val="00F56780"/>
    <w:rsid w:val="00F575B1"/>
    <w:rsid w:val="00F57DAD"/>
    <w:rsid w:val="00F61450"/>
    <w:rsid w:val="00F620B6"/>
    <w:rsid w:val="00F62885"/>
    <w:rsid w:val="00F65664"/>
    <w:rsid w:val="00F74315"/>
    <w:rsid w:val="00F816FF"/>
    <w:rsid w:val="00F83144"/>
    <w:rsid w:val="00F8489F"/>
    <w:rsid w:val="00F8537E"/>
    <w:rsid w:val="00F85A33"/>
    <w:rsid w:val="00F8672C"/>
    <w:rsid w:val="00F86B08"/>
    <w:rsid w:val="00F86BDF"/>
    <w:rsid w:val="00F86FAC"/>
    <w:rsid w:val="00F90024"/>
    <w:rsid w:val="00F91E44"/>
    <w:rsid w:val="00F932CB"/>
    <w:rsid w:val="00F949C7"/>
    <w:rsid w:val="00F94AAE"/>
    <w:rsid w:val="00F965BF"/>
    <w:rsid w:val="00F9661F"/>
    <w:rsid w:val="00F974E8"/>
    <w:rsid w:val="00FA2DA8"/>
    <w:rsid w:val="00FA2E59"/>
    <w:rsid w:val="00FA47FC"/>
    <w:rsid w:val="00FA4C84"/>
    <w:rsid w:val="00FA62AA"/>
    <w:rsid w:val="00FA6E7C"/>
    <w:rsid w:val="00FA77DB"/>
    <w:rsid w:val="00FA7FCC"/>
    <w:rsid w:val="00FB2739"/>
    <w:rsid w:val="00FB2A7E"/>
    <w:rsid w:val="00FB43EA"/>
    <w:rsid w:val="00FC198C"/>
    <w:rsid w:val="00FC3682"/>
    <w:rsid w:val="00FC4BFF"/>
    <w:rsid w:val="00FD07C3"/>
    <w:rsid w:val="00FD11DC"/>
    <w:rsid w:val="00FD370F"/>
    <w:rsid w:val="00FD6C6E"/>
    <w:rsid w:val="00FD6DDB"/>
    <w:rsid w:val="00FE0786"/>
    <w:rsid w:val="00FE0CF6"/>
    <w:rsid w:val="00FE0EE2"/>
    <w:rsid w:val="00FE1C2A"/>
    <w:rsid w:val="00FE2C32"/>
    <w:rsid w:val="00FE2D12"/>
    <w:rsid w:val="00FE5AF9"/>
    <w:rsid w:val="00FE6622"/>
    <w:rsid w:val="00FF5F3F"/>
    <w:rsid w:val="00FF6A8C"/>
    <w:rsid w:val="00FF77BC"/>
    <w:rsid w:val="00FF7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151F4"/>
  <w15:chartTrackingRefBased/>
  <w15:docId w15:val="{88549EC1-D2B4-4662-A3E7-F7E86E3E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D00"/>
  </w:style>
  <w:style w:type="paragraph" w:styleId="Heading1">
    <w:name w:val="heading 1"/>
    <w:basedOn w:val="Normal"/>
    <w:next w:val="Normal"/>
    <w:link w:val="Heading1Char"/>
    <w:autoRedefine/>
    <w:uiPriority w:val="9"/>
    <w:qFormat/>
    <w:rsid w:val="00103D9C"/>
    <w:pPr>
      <w:keepNext/>
      <w:keepLines/>
      <w:spacing w:before="240" w:after="0"/>
      <w:outlineLvl w:val="0"/>
    </w:pPr>
    <w:rPr>
      <w:rFonts w:ascii="Calibri" w:eastAsiaTheme="majorEastAsia" w:hAnsi="Calibri" w:cstheme="majorBidi"/>
      <w:b/>
      <w:sz w:val="28"/>
      <w:szCs w:val="32"/>
    </w:rPr>
  </w:style>
  <w:style w:type="paragraph" w:styleId="Heading2">
    <w:name w:val="heading 2"/>
    <w:basedOn w:val="Normal"/>
    <w:next w:val="Normal"/>
    <w:link w:val="Heading2Char"/>
    <w:autoRedefine/>
    <w:uiPriority w:val="9"/>
    <w:unhideWhenUsed/>
    <w:qFormat/>
    <w:rsid w:val="004C1C97"/>
    <w:pPr>
      <w:keepNext/>
      <w:keepLines/>
      <w:spacing w:before="40" w:after="0"/>
      <w:outlineLvl w:val="1"/>
    </w:pPr>
    <w:rPr>
      <w:rFonts w:ascii="Arial" w:eastAsiaTheme="majorEastAsia" w:hAnsi="Arial" w:cs="Arial"/>
      <w:b/>
      <w:sz w:val="24"/>
      <w:szCs w:val="24"/>
    </w:rPr>
  </w:style>
  <w:style w:type="paragraph" w:styleId="Heading3">
    <w:name w:val="heading 3"/>
    <w:basedOn w:val="Normal"/>
    <w:next w:val="Normal"/>
    <w:link w:val="Heading3Char"/>
    <w:autoRedefine/>
    <w:uiPriority w:val="9"/>
    <w:unhideWhenUsed/>
    <w:qFormat/>
    <w:rsid w:val="00324093"/>
    <w:pPr>
      <w:keepNext/>
      <w:keepLines/>
      <w:spacing w:before="40" w:after="0"/>
      <w:outlineLvl w:val="2"/>
    </w:pPr>
    <w:rPr>
      <w:rFonts w:ascii="Calibri" w:eastAsiaTheme="majorEastAsia" w:hAnsi="Calibri" w:cstheme="majorBidi"/>
      <w:b/>
      <w:sz w:val="24"/>
      <w:szCs w:val="24"/>
    </w:rPr>
  </w:style>
  <w:style w:type="paragraph" w:styleId="Heading4">
    <w:name w:val="heading 4"/>
    <w:basedOn w:val="Normal"/>
    <w:next w:val="Normal"/>
    <w:link w:val="Heading4Char"/>
    <w:autoRedefine/>
    <w:uiPriority w:val="9"/>
    <w:semiHidden/>
    <w:unhideWhenUsed/>
    <w:qFormat/>
    <w:rsid w:val="00324093"/>
    <w:pPr>
      <w:keepNext/>
      <w:keepLines/>
      <w:spacing w:before="40" w:after="0"/>
      <w:outlineLvl w:val="3"/>
    </w:pPr>
    <w:rPr>
      <w:rFonts w:ascii="Calibri" w:eastAsiaTheme="majorEastAsia" w:hAnsi="Calibr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D9C"/>
    <w:rPr>
      <w:rFonts w:ascii="Calibri" w:eastAsiaTheme="majorEastAsia" w:hAnsi="Calibri" w:cstheme="majorBidi"/>
      <w:b/>
      <w:sz w:val="28"/>
      <w:szCs w:val="32"/>
    </w:rPr>
  </w:style>
  <w:style w:type="character" w:customStyle="1" w:styleId="Heading2Char">
    <w:name w:val="Heading 2 Char"/>
    <w:basedOn w:val="DefaultParagraphFont"/>
    <w:link w:val="Heading2"/>
    <w:uiPriority w:val="9"/>
    <w:rsid w:val="004C1C97"/>
    <w:rPr>
      <w:rFonts w:ascii="Arial" w:eastAsiaTheme="majorEastAsia" w:hAnsi="Arial" w:cs="Arial"/>
      <w:b/>
      <w:sz w:val="24"/>
      <w:szCs w:val="24"/>
    </w:rPr>
  </w:style>
  <w:style w:type="character" w:customStyle="1" w:styleId="Heading3Char">
    <w:name w:val="Heading 3 Char"/>
    <w:basedOn w:val="DefaultParagraphFont"/>
    <w:link w:val="Heading3"/>
    <w:uiPriority w:val="9"/>
    <w:rsid w:val="00324093"/>
    <w:rPr>
      <w:rFonts w:ascii="Calibri" w:eastAsiaTheme="majorEastAsia" w:hAnsi="Calibri" w:cstheme="majorBidi"/>
      <w:b/>
      <w:sz w:val="24"/>
      <w:szCs w:val="24"/>
    </w:rPr>
  </w:style>
  <w:style w:type="character" w:customStyle="1" w:styleId="Heading4Char">
    <w:name w:val="Heading 4 Char"/>
    <w:basedOn w:val="DefaultParagraphFont"/>
    <w:link w:val="Heading4"/>
    <w:uiPriority w:val="9"/>
    <w:semiHidden/>
    <w:rsid w:val="00324093"/>
    <w:rPr>
      <w:rFonts w:ascii="Calibri" w:eastAsiaTheme="majorEastAsia" w:hAnsi="Calibri" w:cstheme="majorBidi"/>
      <w:b/>
      <w:i/>
      <w:iCs/>
    </w:rPr>
  </w:style>
  <w:style w:type="paragraph" w:styleId="NoSpacing">
    <w:name w:val="No Spacing"/>
    <w:uiPriority w:val="1"/>
    <w:qFormat/>
    <w:rsid w:val="00FD6DDB"/>
    <w:pPr>
      <w:spacing w:after="0" w:line="240" w:lineRule="auto"/>
    </w:pPr>
  </w:style>
  <w:style w:type="table" w:styleId="TableGrid">
    <w:name w:val="Table Grid"/>
    <w:basedOn w:val="TableNormal"/>
    <w:uiPriority w:val="59"/>
    <w:rsid w:val="00A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36E4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21E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C307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C47419"/>
    <w:pPr>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883CF-F438-44B0-9533-E3C483D3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1074</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Lees</dc:creator>
  <cp:keywords/>
  <dc:description/>
  <cp:lastModifiedBy>Jennifer Lees</cp:lastModifiedBy>
  <cp:revision>10</cp:revision>
  <dcterms:created xsi:type="dcterms:W3CDTF">2018-10-15T14:51:00Z</dcterms:created>
  <dcterms:modified xsi:type="dcterms:W3CDTF">2018-10-15T15:10:00Z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http://www.zotero.org/styles/harvard-cite-them-right</vt:lpwstr>
  </property>
  <property fmtid="{D5CDD505-2E9C-101B-9397-08002B2CF9AE}" pid="10" name="Mendeley Recent Style Name 3_1">
    <vt:lpwstr>Harvard - Cite Them Right 9th edition</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7th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http://www.zotero.org/styles/the-american-journal-of-clinical-nutrition</vt:lpwstr>
  </property>
  <property fmtid="{D5CDD505-2E9C-101B-9397-08002B2CF9AE}" pid="22" name="Mendeley Recent Style Name 9_1">
    <vt:lpwstr>The American Journal of Clinical Nutrition</vt:lpwstr>
  </property>
</Properties>
</file>