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1218" w14:textId="418D0898" w:rsidR="00BF054A" w:rsidRPr="00BF054A" w:rsidRDefault="00BF054A" w:rsidP="00BF054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Supplementary reference list</w:t>
      </w:r>
    </w:p>
    <w:p w14:paraId="7765D7C1" w14:textId="60531E52" w:rsidR="00C752A7" w:rsidRDefault="00C752A7" w:rsidP="00BF054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Coresh J, Selvin E, Stevens LA,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Prevalence of chronic kidney disease in the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2426A">
        <w:rPr>
          <w:rFonts w:ascii="Arial" w:hAnsi="Arial" w:cs="Arial"/>
          <w:noProof/>
          <w:sz w:val="24"/>
          <w:szCs w:val="24"/>
        </w:rPr>
        <w:t xml:space="preserve">United States.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JAMA</w:t>
      </w:r>
      <w:r w:rsidRPr="0012426A">
        <w:rPr>
          <w:rFonts w:ascii="Arial" w:hAnsi="Arial" w:cs="Arial"/>
          <w:noProof/>
          <w:sz w:val="24"/>
          <w:szCs w:val="24"/>
        </w:rPr>
        <w:t xml:space="preserve"> 2007;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298</w:t>
      </w:r>
      <w:r w:rsidRPr="0012426A">
        <w:rPr>
          <w:rFonts w:ascii="Arial" w:hAnsi="Arial" w:cs="Arial"/>
          <w:noProof/>
          <w:sz w:val="24"/>
          <w:szCs w:val="24"/>
        </w:rPr>
        <w:t>:2038–47.http://dx.doi.org/10.1001/jama.298.17.2038</w:t>
      </w:r>
    </w:p>
    <w:p w14:paraId="285A40E8" w14:textId="77C3951C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S2.</w:t>
      </w:r>
      <w:r>
        <w:rPr>
          <w:rFonts w:ascii="Arial" w:hAnsi="Arial" w:cs="Arial"/>
          <w:noProof/>
          <w:sz w:val="24"/>
          <w:szCs w:val="24"/>
        </w:rPr>
        <w:tab/>
      </w:r>
      <w:r w:rsidRPr="00C752A7">
        <w:rPr>
          <w:rFonts w:ascii="Arial" w:hAnsi="Arial" w:cs="Arial"/>
          <w:noProof/>
          <w:sz w:val="24"/>
          <w:szCs w:val="24"/>
        </w:rPr>
        <w:t xml:space="preserve">Radenkovic D, Weingärtner S, Ricketts L, </w:t>
      </w:r>
      <w:r w:rsidRPr="00C752A7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C752A7">
        <w:rPr>
          <w:rFonts w:ascii="Arial" w:hAnsi="Arial" w:cs="Arial"/>
          <w:noProof/>
          <w:sz w:val="24"/>
          <w:szCs w:val="24"/>
        </w:rPr>
        <w:t xml:space="preserve"> T1 mapping in cardiac MRI. </w:t>
      </w:r>
      <w:r w:rsidRPr="00C752A7">
        <w:rPr>
          <w:rFonts w:ascii="Arial" w:hAnsi="Arial" w:cs="Arial"/>
          <w:i/>
          <w:iCs/>
          <w:noProof/>
          <w:sz w:val="24"/>
          <w:szCs w:val="24"/>
        </w:rPr>
        <w:t>Hear Fail Rev</w:t>
      </w:r>
      <w:r w:rsidRPr="00C752A7">
        <w:rPr>
          <w:rFonts w:ascii="Arial" w:hAnsi="Arial" w:cs="Arial"/>
          <w:noProof/>
          <w:sz w:val="24"/>
          <w:szCs w:val="24"/>
        </w:rPr>
        <w:t xml:space="preserve"> 2017;</w:t>
      </w:r>
      <w:r w:rsidRPr="00C752A7">
        <w:rPr>
          <w:rFonts w:ascii="Arial" w:hAnsi="Arial" w:cs="Arial"/>
          <w:b/>
          <w:bCs/>
          <w:noProof/>
          <w:sz w:val="24"/>
          <w:szCs w:val="24"/>
        </w:rPr>
        <w:t>22</w:t>
      </w:r>
      <w:r w:rsidRPr="00C752A7">
        <w:rPr>
          <w:rFonts w:ascii="Arial" w:hAnsi="Arial" w:cs="Arial"/>
          <w:noProof/>
          <w:sz w:val="24"/>
          <w:szCs w:val="24"/>
        </w:rPr>
        <w:t>:415–30. doi:10.1007/s10741-017-9627-2</w:t>
      </w:r>
    </w:p>
    <w:p w14:paraId="253C4A76" w14:textId="0F26393B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S3.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Diao K, Yang Z, Xu H,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Histologic validation of myocardial fibrosis measured by T1 mapping : a systematic review and meta-analysis.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 Cardiovasc Magn Reson</w:t>
      </w:r>
      <w:r w:rsidRPr="0012426A">
        <w:rPr>
          <w:rFonts w:ascii="Arial" w:hAnsi="Arial" w:cs="Arial"/>
          <w:noProof/>
          <w:sz w:val="24"/>
          <w:szCs w:val="24"/>
        </w:rPr>
        <w:t xml:space="preserve"> 2016;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18</w:t>
      </w:r>
      <w:r w:rsidRPr="0012426A">
        <w:rPr>
          <w:rFonts w:ascii="Arial" w:hAnsi="Arial" w:cs="Arial"/>
          <w:noProof/>
          <w:sz w:val="24"/>
          <w:szCs w:val="24"/>
        </w:rPr>
        <w:t>:1–11. doi:10.1186/s12968-016-0313-7</w:t>
      </w:r>
    </w:p>
    <w:p w14:paraId="2B38FA2E" w14:textId="751198D5" w:rsidR="0033109D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S4.</w:t>
      </w:r>
      <w:r>
        <w:rPr>
          <w:rFonts w:ascii="Arial" w:hAnsi="Arial" w:cs="Arial"/>
          <w:noProof/>
          <w:sz w:val="24"/>
          <w:szCs w:val="24"/>
        </w:rPr>
        <w:tab/>
      </w:r>
      <w:r w:rsidR="0033109D" w:rsidRPr="0033109D">
        <w:rPr>
          <w:rFonts w:ascii="Arial" w:hAnsi="Arial" w:cs="Arial"/>
          <w:noProof/>
          <w:sz w:val="24"/>
          <w:szCs w:val="24"/>
        </w:rPr>
        <w:t xml:space="preserve">Edwards NC, Hirth A, Ferro CJ, </w:t>
      </w:r>
      <w:r w:rsidR="0033109D" w:rsidRPr="0033109D">
        <w:rPr>
          <w:rFonts w:ascii="Arial" w:hAnsi="Arial" w:cs="Arial"/>
          <w:i/>
          <w:iCs/>
          <w:noProof/>
          <w:sz w:val="24"/>
          <w:szCs w:val="24"/>
        </w:rPr>
        <w:t>et al.</w:t>
      </w:r>
      <w:r w:rsidR="0033109D" w:rsidRPr="0033109D">
        <w:rPr>
          <w:rFonts w:ascii="Arial" w:hAnsi="Arial" w:cs="Arial"/>
          <w:noProof/>
          <w:sz w:val="24"/>
          <w:szCs w:val="24"/>
        </w:rPr>
        <w:t xml:space="preserve"> Subclinical Abnormalities of Left Ventricular Myocardial Deformation in Early-Stage Chronic Kidney Disease: The Precursor of Uremic Cardiomyopathy? </w:t>
      </w:r>
      <w:r w:rsidR="0033109D" w:rsidRPr="0033109D">
        <w:rPr>
          <w:rFonts w:ascii="Arial" w:hAnsi="Arial" w:cs="Arial"/>
          <w:i/>
          <w:iCs/>
          <w:noProof/>
          <w:sz w:val="24"/>
          <w:szCs w:val="24"/>
        </w:rPr>
        <w:t>J Am Soc Echocardiogr</w:t>
      </w:r>
      <w:r w:rsidR="0033109D" w:rsidRPr="0033109D">
        <w:rPr>
          <w:rFonts w:ascii="Arial" w:hAnsi="Arial" w:cs="Arial"/>
          <w:noProof/>
          <w:sz w:val="24"/>
          <w:szCs w:val="24"/>
        </w:rPr>
        <w:t xml:space="preserve"> 2008;</w:t>
      </w:r>
      <w:r w:rsidR="0033109D" w:rsidRPr="0033109D">
        <w:rPr>
          <w:rFonts w:ascii="Arial" w:hAnsi="Arial" w:cs="Arial"/>
          <w:b/>
          <w:bCs/>
          <w:noProof/>
          <w:sz w:val="24"/>
          <w:szCs w:val="24"/>
        </w:rPr>
        <w:t>21</w:t>
      </w:r>
      <w:r w:rsidR="0033109D" w:rsidRPr="0033109D">
        <w:rPr>
          <w:rFonts w:ascii="Arial" w:hAnsi="Arial" w:cs="Arial"/>
          <w:noProof/>
          <w:sz w:val="24"/>
          <w:szCs w:val="24"/>
        </w:rPr>
        <w:t>:1293–8. doi:https://doi.org/10.1016/j.echo.2008.09.013</w:t>
      </w:r>
    </w:p>
    <w:p w14:paraId="486E40E2" w14:textId="61EA566D" w:rsidR="00C752A7" w:rsidRDefault="0033109D" w:rsidP="0033109D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S5.</w:t>
      </w:r>
      <w:r>
        <w:rPr>
          <w:rFonts w:ascii="Arial" w:hAnsi="Arial" w:cs="Arial"/>
          <w:noProof/>
          <w:sz w:val="24"/>
          <w:szCs w:val="24"/>
        </w:rPr>
        <w:tab/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Moreo A, Ambrosio G, Chiara B De, </w:t>
      </w:r>
      <w:r w:rsidR="00C752A7"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 Influence of Myocardial Fibrosis on Left Ventricular Noninvasive Assessment by Cardiac Magnetic Resonance and Echo. </w:t>
      </w:r>
      <w:r w:rsidR="00C752A7" w:rsidRPr="0012426A">
        <w:rPr>
          <w:rFonts w:ascii="Arial" w:hAnsi="Arial" w:cs="Arial"/>
          <w:i/>
          <w:iCs/>
          <w:noProof/>
          <w:sz w:val="24"/>
          <w:szCs w:val="24"/>
        </w:rPr>
        <w:t>Circ Cardiovasc Imaging</w:t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 2009;</w:t>
      </w:r>
      <w:r w:rsidR="00C752A7" w:rsidRPr="0012426A">
        <w:rPr>
          <w:rFonts w:ascii="Arial" w:hAnsi="Arial" w:cs="Arial"/>
          <w:b/>
          <w:bCs/>
          <w:noProof/>
          <w:sz w:val="24"/>
          <w:szCs w:val="24"/>
        </w:rPr>
        <w:t>2</w:t>
      </w:r>
      <w:r w:rsidR="00C752A7" w:rsidRPr="0012426A">
        <w:rPr>
          <w:rFonts w:ascii="Arial" w:hAnsi="Arial" w:cs="Arial"/>
          <w:noProof/>
          <w:sz w:val="24"/>
          <w:szCs w:val="24"/>
        </w:rPr>
        <w:t>:437–43. doi:10.1161/CIRCIMAGING.108.838367</w:t>
      </w:r>
    </w:p>
    <w:p w14:paraId="2B388689" w14:textId="369A7819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Shah SJ, Lam CSP, Svedlund S,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Prevalence and correlates of coronary microvascular dysfunction in heart failure with preserved ejection fraction: PROMIS-HFpEF.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Eur Heart J</w:t>
      </w:r>
      <w:r w:rsidRPr="0012426A">
        <w:rPr>
          <w:rFonts w:ascii="Arial" w:hAnsi="Arial" w:cs="Arial"/>
          <w:noProof/>
          <w:sz w:val="24"/>
          <w:szCs w:val="24"/>
        </w:rPr>
        <w:t xml:space="preserve"> 2018;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39</w:t>
      </w:r>
      <w:r w:rsidRPr="0012426A">
        <w:rPr>
          <w:rFonts w:ascii="Arial" w:hAnsi="Arial" w:cs="Arial"/>
          <w:noProof/>
          <w:sz w:val="24"/>
          <w:szCs w:val="24"/>
        </w:rPr>
        <w:t>:3439–50. doi:10.1093/eurheartj/ehy531</w:t>
      </w:r>
    </w:p>
    <w:p w14:paraId="1B9F7813" w14:textId="574EAEED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Chilian WM. Coronary Microcirculation in Health and Disease Summary of an NHLBI Workshop.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Circulation</w:t>
      </w:r>
      <w:r w:rsidRPr="0012426A">
        <w:rPr>
          <w:rFonts w:ascii="Arial" w:hAnsi="Arial" w:cs="Arial"/>
          <w:noProof/>
          <w:sz w:val="24"/>
          <w:szCs w:val="24"/>
        </w:rPr>
        <w:t xml:space="preserve"> 1997;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95</w:t>
      </w:r>
      <w:r w:rsidRPr="0012426A">
        <w:rPr>
          <w:rFonts w:ascii="Arial" w:hAnsi="Arial" w:cs="Arial"/>
          <w:noProof/>
          <w:sz w:val="24"/>
          <w:szCs w:val="24"/>
        </w:rPr>
        <w:t>:522–8. doi:http://www.ncbi.nlm.nih.gov/pmc/articles/PMC4037233/</w:t>
      </w:r>
    </w:p>
    <w:p w14:paraId="3FDC18DA" w14:textId="1E1AF7E1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8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Muller-delp JM. The Coronary Microcirculation in Health and Disease.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ISRN Physiol</w:t>
      </w:r>
      <w:r w:rsidRPr="0012426A">
        <w:rPr>
          <w:rFonts w:ascii="Arial" w:hAnsi="Arial" w:cs="Arial"/>
          <w:noProof/>
          <w:sz w:val="24"/>
          <w:szCs w:val="24"/>
        </w:rPr>
        <w:t xml:space="preserve"> 2013;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2013</w:t>
      </w:r>
      <w:r w:rsidRPr="0012426A">
        <w:rPr>
          <w:rFonts w:ascii="Arial" w:hAnsi="Arial" w:cs="Arial"/>
          <w:noProof/>
          <w:sz w:val="24"/>
          <w:szCs w:val="24"/>
        </w:rPr>
        <w:t>. doi:https://doi.org/10.1155/2013/238979</w:t>
      </w:r>
    </w:p>
    <w:p w14:paraId="657EBE51" w14:textId="37153E38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9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Amann K, Breitbach M, Ritz E,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Myocyte/capillary mismatch in the heart of uremic patients.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 Am Soc Nephrol</w:t>
      </w:r>
      <w:r w:rsidRPr="0012426A">
        <w:rPr>
          <w:rFonts w:ascii="Arial" w:hAnsi="Arial" w:cs="Arial"/>
          <w:noProof/>
          <w:sz w:val="24"/>
          <w:szCs w:val="24"/>
        </w:rPr>
        <w:t xml:space="preserve"> 1998;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12426A">
        <w:rPr>
          <w:rFonts w:ascii="Arial" w:hAnsi="Arial" w:cs="Arial"/>
          <w:noProof/>
          <w:sz w:val="24"/>
          <w:szCs w:val="24"/>
        </w:rPr>
        <w:t>:1018–22.http://eutils.ncbi.nlm.nih.gov/entrez/eutils/elink.fcgi?dbfrom=pubmed&amp;id=9621284&amp;retmode=ref&amp;cmd=prlinks%5Cnpapers3://publication/uuid/609789A0-169D-4D2F-97C6-95CA5C75B60D</w:t>
      </w:r>
    </w:p>
    <w:p w14:paraId="58FCA30B" w14:textId="09F2782C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10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Amann K, Wiest G, Zimmer G,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Reduced capillary density in the myocardium of uremic rats--a stereological study.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Kidney Int</w:t>
      </w:r>
      <w:r w:rsidRPr="0012426A">
        <w:rPr>
          <w:rFonts w:ascii="Arial" w:hAnsi="Arial" w:cs="Arial"/>
          <w:noProof/>
          <w:sz w:val="24"/>
          <w:szCs w:val="24"/>
        </w:rPr>
        <w:t xml:space="preserve"> 1992;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42</w:t>
      </w:r>
      <w:r w:rsidRPr="0012426A">
        <w:rPr>
          <w:rFonts w:ascii="Arial" w:hAnsi="Arial" w:cs="Arial"/>
          <w:noProof/>
          <w:sz w:val="24"/>
          <w:szCs w:val="24"/>
        </w:rPr>
        <w:t>:1079–85. doi:10.1038/ki.1992.390</w:t>
      </w:r>
    </w:p>
    <w:p w14:paraId="00C7F914" w14:textId="265AED23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Cecchi F, Olivotto I, Gistri R,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Coronary Microvascular Dysfunction and Prognosis in Hypertrophic Cardiomyopathy.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N Engl J Med</w:t>
      </w:r>
      <w:r w:rsidRPr="0012426A">
        <w:rPr>
          <w:rFonts w:ascii="Arial" w:hAnsi="Arial" w:cs="Arial"/>
          <w:noProof/>
          <w:sz w:val="24"/>
          <w:szCs w:val="24"/>
        </w:rPr>
        <w:t xml:space="preserve"> 2003;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349</w:t>
      </w:r>
      <w:r w:rsidRPr="0012426A">
        <w:rPr>
          <w:rFonts w:ascii="Arial" w:hAnsi="Arial" w:cs="Arial"/>
          <w:noProof/>
          <w:sz w:val="24"/>
          <w:szCs w:val="24"/>
        </w:rPr>
        <w:t>:1027–35.http://www.nejm.org/doi/abs/10.1056/NEJMoa025050%5Cnpapers3://publication/doi/10.1056/NEJMoa025050</w:t>
      </w:r>
    </w:p>
    <w:p w14:paraId="35893D10" w14:textId="31378B0B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Nelson MD, Wei J, Bairey Merz CN. Coronary microvascular dysfunction and heart failure with preserved ejection fraction as female-pattern cardiovascular disease: The chicken or the egg?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Eur Heart J</w:t>
      </w:r>
      <w:r w:rsidRPr="0012426A">
        <w:rPr>
          <w:rFonts w:ascii="Arial" w:hAnsi="Arial" w:cs="Arial"/>
          <w:noProof/>
          <w:sz w:val="24"/>
          <w:szCs w:val="24"/>
        </w:rPr>
        <w:t xml:space="preserve"> 2018;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39</w:t>
      </w:r>
      <w:r w:rsidRPr="0012426A">
        <w:rPr>
          <w:rFonts w:ascii="Arial" w:hAnsi="Arial" w:cs="Arial"/>
          <w:noProof/>
          <w:sz w:val="24"/>
          <w:szCs w:val="24"/>
        </w:rPr>
        <w:t xml:space="preserve">:850–2. </w:t>
      </w:r>
      <w:r w:rsidRPr="0012426A">
        <w:rPr>
          <w:rFonts w:ascii="Arial" w:hAnsi="Arial" w:cs="Arial"/>
          <w:noProof/>
          <w:sz w:val="24"/>
          <w:szCs w:val="24"/>
        </w:rPr>
        <w:lastRenderedPageBreak/>
        <w:t>doi:10.1093/eurheartj/ehx818</w:t>
      </w:r>
    </w:p>
    <w:p w14:paraId="6C5BFAE9" w14:textId="714F8BDE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Layland J, Carrick D, Lee M,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Adenosine: Physiology, pharmacology, and clinical applications.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JACC Cardiovasc Interv</w:t>
      </w:r>
      <w:r w:rsidRPr="0012426A">
        <w:rPr>
          <w:rFonts w:ascii="Arial" w:hAnsi="Arial" w:cs="Arial"/>
          <w:noProof/>
          <w:sz w:val="24"/>
          <w:szCs w:val="24"/>
        </w:rPr>
        <w:t xml:space="preserve"> 2014;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7</w:t>
      </w:r>
      <w:r w:rsidRPr="0012426A">
        <w:rPr>
          <w:rFonts w:ascii="Arial" w:hAnsi="Arial" w:cs="Arial"/>
          <w:noProof/>
          <w:sz w:val="24"/>
          <w:szCs w:val="24"/>
        </w:rPr>
        <w:t>:581–91. doi:10.1016/j.jcin.2014.02.009</w:t>
      </w:r>
    </w:p>
    <w:p w14:paraId="71F24083" w14:textId="3F527214" w:rsidR="004155A1" w:rsidRDefault="00C752A7" w:rsidP="004155A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="004155A1" w:rsidRPr="008C4CE1">
        <w:rPr>
          <w:rFonts w:ascii="Arial" w:hAnsi="Arial" w:cs="Arial"/>
          <w:noProof/>
          <w:sz w:val="24"/>
          <w:szCs w:val="24"/>
        </w:rPr>
        <w:t xml:space="preserve">Caiati C, Montaldo C, Zedda N, </w:t>
      </w:r>
      <w:r w:rsidR="004155A1" w:rsidRPr="008C4CE1">
        <w:rPr>
          <w:rFonts w:ascii="Arial" w:hAnsi="Arial" w:cs="Arial"/>
          <w:i/>
          <w:iCs/>
          <w:noProof/>
          <w:sz w:val="24"/>
          <w:szCs w:val="24"/>
        </w:rPr>
        <w:t>et al.</w:t>
      </w:r>
      <w:r w:rsidR="004155A1" w:rsidRPr="008C4CE1">
        <w:rPr>
          <w:rFonts w:ascii="Arial" w:hAnsi="Arial" w:cs="Arial"/>
          <w:noProof/>
          <w:sz w:val="24"/>
          <w:szCs w:val="24"/>
        </w:rPr>
        <w:t xml:space="preserve"> Validation of a new noninvasive method (contrast-enhanced transthoracic second harmonic echo Doppler) for the evaluation of coronary flow reserve: Comparison with intracoronary Doppler flow wire. </w:t>
      </w:r>
      <w:r w:rsidR="004155A1" w:rsidRPr="008C4CE1">
        <w:rPr>
          <w:rFonts w:ascii="Arial" w:hAnsi="Arial" w:cs="Arial"/>
          <w:i/>
          <w:iCs/>
          <w:noProof/>
          <w:sz w:val="24"/>
          <w:szCs w:val="24"/>
        </w:rPr>
        <w:t>J Am Coll Cardiol</w:t>
      </w:r>
      <w:r w:rsidR="004155A1" w:rsidRPr="008C4CE1">
        <w:rPr>
          <w:rFonts w:ascii="Arial" w:hAnsi="Arial" w:cs="Arial"/>
          <w:noProof/>
          <w:sz w:val="24"/>
          <w:szCs w:val="24"/>
        </w:rPr>
        <w:t xml:space="preserve"> 1999;</w:t>
      </w:r>
      <w:r w:rsidR="004155A1" w:rsidRPr="008C4CE1">
        <w:rPr>
          <w:rFonts w:ascii="Arial" w:hAnsi="Arial" w:cs="Arial"/>
          <w:b/>
          <w:bCs/>
          <w:noProof/>
          <w:sz w:val="24"/>
          <w:szCs w:val="24"/>
        </w:rPr>
        <w:t>34</w:t>
      </w:r>
      <w:r w:rsidR="004155A1" w:rsidRPr="008C4CE1">
        <w:rPr>
          <w:rFonts w:ascii="Arial" w:hAnsi="Arial" w:cs="Arial"/>
          <w:noProof/>
          <w:sz w:val="24"/>
          <w:szCs w:val="24"/>
        </w:rPr>
        <w:t>:1193–200. doi:10.1016/S0735-1097(99)00342-3</w:t>
      </w:r>
    </w:p>
    <w:p w14:paraId="195166CB" w14:textId="6C6FE5AE" w:rsidR="00C752A7" w:rsidRPr="0012426A" w:rsidRDefault="004155A1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5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Pijls NH, De Bruyne B, Smith L, </w:t>
      </w:r>
      <w:r w:rsidR="00C752A7"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 Coronary Thermodilution to Assess Flow Reserve. Validation in Humans. </w:t>
      </w:r>
      <w:r w:rsidR="00C752A7" w:rsidRPr="0012426A">
        <w:rPr>
          <w:rFonts w:ascii="Arial" w:hAnsi="Arial" w:cs="Arial"/>
          <w:i/>
          <w:iCs/>
          <w:noProof/>
          <w:sz w:val="24"/>
          <w:szCs w:val="24"/>
        </w:rPr>
        <w:t>Circulation</w:t>
      </w:r>
      <w:r w:rsidR="00C752A7" w:rsidRPr="0012426A">
        <w:rPr>
          <w:rFonts w:ascii="Arial" w:hAnsi="Arial" w:cs="Arial"/>
          <w:noProof/>
          <w:sz w:val="24"/>
          <w:szCs w:val="24"/>
        </w:rPr>
        <w:t xml:space="preserve"> 2002;</w:t>
      </w:r>
      <w:r w:rsidR="00C752A7" w:rsidRPr="0012426A">
        <w:rPr>
          <w:rFonts w:ascii="Arial" w:hAnsi="Arial" w:cs="Arial"/>
          <w:b/>
          <w:bCs/>
          <w:noProof/>
          <w:sz w:val="24"/>
          <w:szCs w:val="24"/>
        </w:rPr>
        <w:t>105</w:t>
      </w:r>
      <w:r w:rsidR="00C752A7" w:rsidRPr="0012426A">
        <w:rPr>
          <w:rFonts w:ascii="Arial" w:hAnsi="Arial" w:cs="Arial"/>
          <w:noProof/>
          <w:sz w:val="24"/>
          <w:szCs w:val="24"/>
        </w:rPr>
        <w:t>:2482–6. doi:10.1161/01.CIR.0000017199.09457.3D</w:t>
      </w:r>
    </w:p>
    <w:p w14:paraId="320FB3B0" w14:textId="5BE1F828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Kato S, Saito N, Nakachi T,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Stress Perfusion Coronary Flow Reserve Versus Cardiac Magnetic Resonance for Known or Suspected CAD.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 Am Coll Cardiol</w:t>
      </w:r>
      <w:r w:rsidRPr="0012426A">
        <w:rPr>
          <w:rFonts w:ascii="Arial" w:hAnsi="Arial" w:cs="Arial"/>
          <w:noProof/>
          <w:sz w:val="24"/>
          <w:szCs w:val="24"/>
        </w:rPr>
        <w:t xml:space="preserve"> 2017;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70</w:t>
      </w:r>
      <w:r w:rsidRPr="0012426A">
        <w:rPr>
          <w:rFonts w:ascii="Arial" w:hAnsi="Arial" w:cs="Arial"/>
          <w:noProof/>
          <w:sz w:val="24"/>
          <w:szCs w:val="24"/>
        </w:rPr>
        <w:t>:869–79. doi:10.1016/j.jacc.2017.06.028</w:t>
      </w:r>
    </w:p>
    <w:p w14:paraId="2EF8542D" w14:textId="425E2672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Liu A, Wijesurendra RS, Francis JM,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Adenosine Stress and Rest T1 Mapping Can Differentiate between Ischemic, Infarcted, Remote, and Normal Myocardium Without the Need for Gadolinium Contrast Agents.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JACC Cardiovasc Imaging</w:t>
      </w:r>
      <w:r w:rsidRPr="0012426A">
        <w:rPr>
          <w:rFonts w:ascii="Arial" w:hAnsi="Arial" w:cs="Arial"/>
          <w:noProof/>
          <w:sz w:val="24"/>
          <w:szCs w:val="24"/>
        </w:rPr>
        <w:t xml:space="preserve"> 2016;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12426A">
        <w:rPr>
          <w:rFonts w:ascii="Arial" w:hAnsi="Arial" w:cs="Arial"/>
          <w:noProof/>
          <w:sz w:val="24"/>
          <w:szCs w:val="24"/>
        </w:rPr>
        <w:t>:27–36. doi:10.1016/j.jcmg.2015.08.018</w:t>
      </w:r>
    </w:p>
    <w:p w14:paraId="163D02A3" w14:textId="5CA12CD9" w:rsidR="00C752A7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8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Kozàkovà M, Palombo C, Pratali L,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Mechanisms of Coronary Flow Reserve Impairment in Human Hypertension.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Hypertension</w:t>
      </w:r>
      <w:r w:rsidRPr="0012426A">
        <w:rPr>
          <w:rFonts w:ascii="Arial" w:hAnsi="Arial" w:cs="Arial"/>
          <w:noProof/>
          <w:sz w:val="24"/>
          <w:szCs w:val="24"/>
        </w:rPr>
        <w:t xml:space="preserve"> 1997;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29</w:t>
      </w:r>
      <w:r w:rsidRPr="0012426A">
        <w:rPr>
          <w:rFonts w:ascii="Arial" w:hAnsi="Arial" w:cs="Arial"/>
          <w:noProof/>
          <w:sz w:val="24"/>
          <w:szCs w:val="24"/>
        </w:rPr>
        <w:t>:551–9. doi:10.1161/01.HYP.29.2.551</w:t>
      </w:r>
    </w:p>
    <w:p w14:paraId="48674A0D" w14:textId="4301E5A1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S1</w:t>
      </w:r>
      <w:r w:rsidR="0033109D">
        <w:rPr>
          <w:rFonts w:ascii="Arial" w:hAnsi="Arial" w:cs="Arial"/>
          <w:noProof/>
          <w:sz w:val="24"/>
          <w:szCs w:val="24"/>
        </w:rPr>
        <w:t>9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Pr="0012426A">
        <w:rPr>
          <w:rFonts w:ascii="Arial" w:hAnsi="Arial" w:cs="Arial"/>
          <w:noProof/>
          <w:sz w:val="24"/>
          <w:szCs w:val="24"/>
        </w:rPr>
        <w:t xml:space="preserve">Morris STW, McMurray JJV, Spiers A,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12426A">
        <w:rPr>
          <w:rFonts w:ascii="Arial" w:hAnsi="Arial" w:cs="Arial"/>
          <w:noProof/>
          <w:sz w:val="24"/>
          <w:szCs w:val="24"/>
        </w:rPr>
        <w:t xml:space="preserve"> Impaired endothelial function in isolated human uremic resistance arteries. </w:t>
      </w:r>
      <w:r w:rsidRPr="0012426A">
        <w:rPr>
          <w:rFonts w:ascii="Arial" w:hAnsi="Arial" w:cs="Arial"/>
          <w:i/>
          <w:iCs/>
          <w:noProof/>
          <w:sz w:val="24"/>
          <w:szCs w:val="24"/>
        </w:rPr>
        <w:t>Kidney Int</w:t>
      </w:r>
      <w:r w:rsidRPr="0012426A">
        <w:rPr>
          <w:rFonts w:ascii="Arial" w:hAnsi="Arial" w:cs="Arial"/>
          <w:noProof/>
          <w:sz w:val="24"/>
          <w:szCs w:val="24"/>
        </w:rPr>
        <w:t xml:space="preserve"> 2001;</w:t>
      </w:r>
      <w:r w:rsidRPr="0012426A">
        <w:rPr>
          <w:rFonts w:ascii="Arial" w:hAnsi="Arial" w:cs="Arial"/>
          <w:b/>
          <w:bCs/>
          <w:noProof/>
          <w:sz w:val="24"/>
          <w:szCs w:val="24"/>
        </w:rPr>
        <w:t>60</w:t>
      </w:r>
      <w:r w:rsidRPr="0012426A">
        <w:rPr>
          <w:rFonts w:ascii="Arial" w:hAnsi="Arial" w:cs="Arial"/>
          <w:noProof/>
          <w:sz w:val="24"/>
          <w:szCs w:val="24"/>
        </w:rPr>
        <w:t>:1077–82. doi:10.1046/j.1523-1755.2001.0600031077.x</w:t>
      </w:r>
    </w:p>
    <w:p w14:paraId="0C77253E" w14:textId="1E435BF8" w:rsidR="00C752A7" w:rsidRPr="0012426A" w:rsidRDefault="00C752A7" w:rsidP="00C752A7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33109D">
        <w:rPr>
          <w:rFonts w:ascii="Arial" w:hAnsi="Arial" w:cs="Arial"/>
          <w:noProof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ab/>
      </w:r>
      <w:r w:rsidR="00BF054A" w:rsidRPr="0012426A">
        <w:rPr>
          <w:rFonts w:ascii="Arial" w:hAnsi="Arial" w:cs="Arial"/>
          <w:noProof/>
          <w:sz w:val="24"/>
          <w:szCs w:val="24"/>
        </w:rPr>
        <w:t xml:space="preserve">Kingma Jr. JG, Simard D, Voisine P, </w:t>
      </w:r>
      <w:r w:rsidR="00BF054A" w:rsidRPr="0012426A">
        <w:rPr>
          <w:rFonts w:ascii="Arial" w:hAnsi="Arial" w:cs="Arial"/>
          <w:i/>
          <w:iCs/>
          <w:noProof/>
          <w:sz w:val="24"/>
          <w:szCs w:val="24"/>
        </w:rPr>
        <w:t>et al.</w:t>
      </w:r>
      <w:r w:rsidR="00BF054A" w:rsidRPr="0012426A">
        <w:rPr>
          <w:rFonts w:ascii="Arial" w:hAnsi="Arial" w:cs="Arial"/>
          <w:noProof/>
          <w:sz w:val="24"/>
          <w:szCs w:val="24"/>
        </w:rPr>
        <w:t xml:space="preserve"> Impact of Chronic Kidney Disease on Myocardial Blood Flow Regulation in Dogs. </w:t>
      </w:r>
      <w:r w:rsidR="00BF054A" w:rsidRPr="0012426A">
        <w:rPr>
          <w:rFonts w:ascii="Arial" w:hAnsi="Arial" w:cs="Arial"/>
          <w:i/>
          <w:iCs/>
          <w:noProof/>
          <w:sz w:val="24"/>
          <w:szCs w:val="24"/>
        </w:rPr>
        <w:t>Nephron Exp Nephrol</w:t>
      </w:r>
      <w:r w:rsidR="00BF054A" w:rsidRPr="0012426A">
        <w:rPr>
          <w:rFonts w:ascii="Arial" w:hAnsi="Arial" w:cs="Arial"/>
          <w:noProof/>
          <w:sz w:val="24"/>
          <w:szCs w:val="24"/>
        </w:rPr>
        <w:t xml:space="preserve"> 2014;</w:t>
      </w:r>
      <w:r w:rsidR="00BF054A" w:rsidRPr="0012426A">
        <w:rPr>
          <w:rFonts w:ascii="Arial" w:hAnsi="Arial" w:cs="Arial"/>
          <w:b/>
          <w:bCs/>
          <w:noProof/>
          <w:sz w:val="24"/>
          <w:szCs w:val="24"/>
        </w:rPr>
        <w:t>126</w:t>
      </w:r>
      <w:r w:rsidR="00BF054A" w:rsidRPr="0012426A">
        <w:rPr>
          <w:rFonts w:ascii="Arial" w:hAnsi="Arial" w:cs="Arial"/>
          <w:noProof/>
          <w:sz w:val="24"/>
          <w:szCs w:val="24"/>
        </w:rPr>
        <w:t>:175–82. doi:10.1159/000362090</w:t>
      </w:r>
    </w:p>
    <w:p w14:paraId="0889F64C" w14:textId="77777777" w:rsidR="009F4374" w:rsidRDefault="009F4374"/>
    <w:sectPr w:rsidR="009F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4"/>
    <w:rsid w:val="0033109D"/>
    <w:rsid w:val="004155A1"/>
    <w:rsid w:val="009F4374"/>
    <w:rsid w:val="00BF054A"/>
    <w:rsid w:val="00C752A7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902F"/>
  <w15:chartTrackingRefBased/>
  <w15:docId w15:val="{674EE4E1-44DB-4B6B-A70C-64A6714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A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Radhakrishnan</dc:creator>
  <cp:keywords/>
  <dc:description/>
  <cp:lastModifiedBy>Ashwin Radhakrishnan</cp:lastModifiedBy>
  <cp:revision>4</cp:revision>
  <dcterms:created xsi:type="dcterms:W3CDTF">2019-05-02T19:42:00Z</dcterms:created>
  <dcterms:modified xsi:type="dcterms:W3CDTF">2019-05-05T17:28:00Z</dcterms:modified>
</cp:coreProperties>
</file>