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71BD" w14:textId="209B1C10" w:rsidR="00351BA6" w:rsidRPr="00630A82" w:rsidRDefault="00351BA6" w:rsidP="00351BA6">
      <w:pPr>
        <w:pStyle w:val="Titel"/>
        <w:rPr>
          <w:i/>
          <w:sz w:val="24"/>
          <w:szCs w:val="24"/>
        </w:rPr>
      </w:pPr>
      <w:r w:rsidRPr="00630A82">
        <w:t xml:space="preserve">Supplemental </w:t>
      </w:r>
      <w:r>
        <w:t>material to “</w:t>
      </w:r>
      <w:r w:rsidR="009543E9" w:rsidRPr="009543E9">
        <w:t>Incidence and outcomes of unstable angina</w:t>
      </w:r>
      <w:r>
        <w:t>”</w:t>
      </w:r>
    </w:p>
    <w:p w14:paraId="165FC4AE" w14:textId="1895D043" w:rsidR="00391371" w:rsidRPr="00630A82" w:rsidRDefault="00061965" w:rsidP="007A7A00">
      <w:pPr>
        <w:pStyle w:val="berschrift1"/>
        <w:rPr>
          <w:i/>
          <w:sz w:val="24"/>
          <w:szCs w:val="24"/>
        </w:rPr>
      </w:pPr>
      <w:r w:rsidRPr="00630A82">
        <w:t>Supplemental m</w:t>
      </w:r>
      <w:r w:rsidR="00391371" w:rsidRPr="00630A82">
        <w:t>e</w:t>
      </w:r>
      <w:bookmarkStart w:id="0" w:name="_GoBack"/>
      <w:bookmarkEnd w:id="0"/>
      <w:r w:rsidR="00391371" w:rsidRPr="00630A82">
        <w:t>thods</w:t>
      </w:r>
    </w:p>
    <w:p w14:paraId="1AE93B06" w14:textId="77777777" w:rsidR="00B04262" w:rsidRDefault="00B04262" w:rsidP="00B04262">
      <w:pPr>
        <w:pStyle w:val="berschrift2"/>
      </w:pPr>
      <w:r>
        <w:t>Follow-up</w:t>
      </w:r>
    </w:p>
    <w:p w14:paraId="008A0F07" w14:textId="0AB29098" w:rsidR="00B04262" w:rsidRPr="00450D3C" w:rsidRDefault="00B04262" w:rsidP="00143100">
      <w:r w:rsidRPr="00450D3C">
        <w:rPr>
          <w:color w:val="000000" w:themeColor="text1"/>
        </w:rPr>
        <w:t xml:space="preserve">Patients were contacted </w:t>
      </w:r>
      <w:r w:rsidR="009543E9">
        <w:rPr>
          <w:color w:val="000000" w:themeColor="text1"/>
        </w:rPr>
        <w:t xml:space="preserve">via </w:t>
      </w:r>
      <w:r w:rsidRPr="00450D3C">
        <w:rPr>
          <w:color w:val="000000" w:themeColor="text1"/>
        </w:rPr>
        <w:t xml:space="preserve">telephone interview performed by </w:t>
      </w:r>
      <w:r w:rsidRPr="00450D3C">
        <w:t xml:space="preserve">trained researchers blinded to the adjudication after 90 days and </w:t>
      </w:r>
      <w:r>
        <w:t>1</w:t>
      </w:r>
      <w:r w:rsidRPr="00450D3C">
        <w:t xml:space="preserve"> year. In those patients with an event, review of all available medical records was performed. If patients could not be contacted directly, family physicians and administrative databases of the respective hometowns were contacted. </w:t>
      </w:r>
    </w:p>
    <w:p w14:paraId="7309179B" w14:textId="5517C811" w:rsidR="00391371" w:rsidRPr="00630A82" w:rsidRDefault="00A12D0F" w:rsidP="007A7A00">
      <w:pPr>
        <w:pStyle w:val="berschrift2"/>
      </w:pPr>
      <w:r>
        <w:t xml:space="preserve">Study </w:t>
      </w:r>
      <w:r w:rsidR="005447FD">
        <w:t>design and population continued</w:t>
      </w:r>
    </w:p>
    <w:p w14:paraId="017885D0" w14:textId="587F919A" w:rsidR="00651761" w:rsidRPr="00651761" w:rsidRDefault="00651761" w:rsidP="00143100">
      <w:pPr>
        <w:rPr>
          <w:rFonts w:cs="Times New Roman"/>
        </w:rPr>
      </w:pPr>
      <w:r w:rsidRPr="00651761">
        <w:rPr>
          <w:rFonts w:cs="Times New Roman"/>
          <w:bCs/>
          <w:szCs w:val="24"/>
        </w:rPr>
        <w:t xml:space="preserve">Both studies were carried out according to the principles of the Declaration of Helsinki and approved by the local ethics committees (Ethic committee </w:t>
      </w:r>
      <w:proofErr w:type="spellStart"/>
      <w:r w:rsidRPr="00651761">
        <w:rPr>
          <w:rFonts w:cs="Times New Roman"/>
          <w:bCs/>
          <w:szCs w:val="24"/>
        </w:rPr>
        <w:t>Nordwestschweiz</w:t>
      </w:r>
      <w:proofErr w:type="spellEnd"/>
      <w:r w:rsidRPr="00651761">
        <w:rPr>
          <w:rFonts w:cs="Times New Roman"/>
          <w:bCs/>
          <w:szCs w:val="24"/>
        </w:rPr>
        <w:t xml:space="preserve">, and Scotland </w:t>
      </w:r>
      <w:proofErr w:type="gramStart"/>
      <w:r w:rsidRPr="00651761">
        <w:rPr>
          <w:rFonts w:cs="Times New Roman"/>
          <w:bCs/>
          <w:szCs w:val="24"/>
        </w:rPr>
        <w:t>A</w:t>
      </w:r>
      <w:proofErr w:type="gramEnd"/>
      <w:r w:rsidRPr="00651761">
        <w:rPr>
          <w:rFonts w:cs="Times New Roman"/>
          <w:bCs/>
          <w:szCs w:val="24"/>
        </w:rPr>
        <w:t xml:space="preserve"> Research Ethics Committee, the Public Benefit and Privacy Panel for Health and Social Care, and by each National Health Service Health Board). Informed consent was obtained.</w:t>
      </w:r>
    </w:p>
    <w:p w14:paraId="5444C051" w14:textId="5EA13D32" w:rsidR="005447FD" w:rsidRDefault="005447FD" w:rsidP="00143100">
      <w:r>
        <w:t xml:space="preserve">In APACE, </w:t>
      </w:r>
      <w:r w:rsidR="009543E9">
        <w:t>a</w:t>
      </w:r>
      <w:r w:rsidRPr="005447FD">
        <w:t xml:space="preserve">dult patients presenting with any kind of acute chest discomfort including “pain”, “pressure”, “burning”, “stabbing”, and “angina” to the </w:t>
      </w:r>
      <w:r w:rsidR="009543E9">
        <w:t>e</w:t>
      </w:r>
      <w:r w:rsidRPr="005447FD">
        <w:t xml:space="preserve">mergency </w:t>
      </w:r>
      <w:r w:rsidR="009543E9">
        <w:t>d</w:t>
      </w:r>
      <w:r w:rsidRPr="005447FD">
        <w:t>epartment (ED) with an onset or peak within the last 12 hours were recruited after written informed was obtained. While enrolment was independent of renal function, patients with terminal kidney failure requiring renal replacement therapy were excluded.</w:t>
      </w:r>
      <w:r>
        <w:t xml:space="preserve"> </w:t>
      </w:r>
    </w:p>
    <w:p w14:paraId="71548F4E" w14:textId="6AB58ECA" w:rsidR="00391371" w:rsidRDefault="005447FD" w:rsidP="00143100">
      <w:r>
        <w:t>High-STEACS</w:t>
      </w:r>
      <w:r w:rsidRPr="005447FD">
        <w:t xml:space="preserve"> prospectively identified a population of patients presenting with su</w:t>
      </w:r>
      <w:r>
        <w:t xml:space="preserve">spected </w:t>
      </w:r>
      <w:r w:rsidR="009543E9">
        <w:t>acute coronary syndrome</w:t>
      </w:r>
      <w:r w:rsidR="000B0310">
        <w:t xml:space="preserve"> (ACS)</w:t>
      </w:r>
      <w:r w:rsidR="009543E9">
        <w:t xml:space="preserve"> </w:t>
      </w:r>
      <w:r>
        <w:t>to EDs in Scotland</w:t>
      </w:r>
      <w:r w:rsidRPr="005447FD">
        <w:t>. All patients underwent an initial clinical assessment that included a clinical history, physical examination, 12-lead-ECG, continuous ECG-rhythm monitoring, pulse oximetry, serial blood testing including (</w:t>
      </w:r>
      <w:proofErr w:type="spellStart"/>
      <w:r w:rsidRPr="005447FD">
        <w:t>hs</w:t>
      </w:r>
      <w:proofErr w:type="spellEnd"/>
      <w:r w:rsidRPr="005447FD">
        <w:t>)-</w:t>
      </w:r>
      <w:proofErr w:type="spellStart"/>
      <w:r w:rsidRPr="005447FD">
        <w:t>cTn</w:t>
      </w:r>
      <w:proofErr w:type="spellEnd"/>
      <w:r w:rsidRPr="005447FD">
        <w:t>, and chest radiography.</w:t>
      </w:r>
      <w:r>
        <w:t xml:space="preserve"> </w:t>
      </w:r>
      <w:r w:rsidR="00391371" w:rsidRPr="00630A82">
        <w:t xml:space="preserve">Attending clinicians reviewed all patients at presentation and included those </w:t>
      </w:r>
      <w:r w:rsidR="008B0958" w:rsidRPr="00630A82">
        <w:lastRenderedPageBreak/>
        <w:t>with su</w:t>
      </w:r>
      <w:r w:rsidR="00BA5A98" w:rsidRPr="00630A82">
        <w:t>spected acute coronary syndrome</w:t>
      </w:r>
      <w:r w:rsidR="00391371" w:rsidRPr="00630A82">
        <w:t xml:space="preserve">. They completed a dedicated electronic form that was integrated into the clinical care pathway prior to measurement of plasma cardiac troponin I concentration at presentation. Troponin testing was repeated 6 or 12 hours after the onset of symptoms at their discretion. </w:t>
      </w:r>
      <w:r w:rsidR="001A225E" w:rsidRPr="00630A82">
        <w:t>A</w:t>
      </w:r>
      <w:r w:rsidR="00391371" w:rsidRPr="00630A82">
        <w:t>dditional data</w:t>
      </w:r>
      <w:r w:rsidR="001A225E" w:rsidRPr="00630A82">
        <w:t>, including baseline clinical characteristics,</w:t>
      </w:r>
      <w:r w:rsidR="00391371" w:rsidRPr="00630A82">
        <w:t xml:space="preserve"> </w:t>
      </w:r>
      <w:r w:rsidR="001A225E" w:rsidRPr="00630A82">
        <w:t xml:space="preserve">was collected prospectively </w:t>
      </w:r>
      <w:r w:rsidR="00391371" w:rsidRPr="00630A82">
        <w:t>from the electronic patient record through a dynamic linkage process. Patients were excluded if they had a previous presentation during the study period or were not resident in Scotland</w:t>
      </w:r>
      <w:r w:rsidR="00EB674F" w:rsidRPr="00630A82">
        <w:t xml:space="preserve">. </w:t>
      </w:r>
    </w:p>
    <w:p w14:paraId="7FFAEE00" w14:textId="25EFAF8B" w:rsidR="005447FD" w:rsidRDefault="005447FD" w:rsidP="00143100">
      <w:r w:rsidRPr="005447FD">
        <w:t xml:space="preserve">Treatment of patients was left at the discretion of the attending physician. </w:t>
      </w:r>
    </w:p>
    <w:p w14:paraId="65DAA58E" w14:textId="2CD1E918" w:rsidR="00256C6B" w:rsidRPr="00630A82" w:rsidRDefault="00256C6B" w:rsidP="00256C6B">
      <w:pPr>
        <w:pStyle w:val="berschrift3"/>
      </w:pPr>
      <w:r w:rsidRPr="00630A82">
        <w:t xml:space="preserve">Clinical outcomes </w:t>
      </w:r>
      <w:r>
        <w:t>High-STEACS</w:t>
      </w:r>
    </w:p>
    <w:p w14:paraId="100E2C81" w14:textId="772E2DED" w:rsidR="00256C6B" w:rsidRDefault="009543E9" w:rsidP="00256C6B">
      <w:r>
        <w:t xml:space="preserve">High-STEACS </w:t>
      </w:r>
      <w:r w:rsidR="00256C6B" w:rsidRPr="00630A82">
        <w:t xml:space="preserve">used regional and national registries to ensure that follow-up was complete for the entire study population. </w:t>
      </w:r>
      <w:proofErr w:type="spellStart"/>
      <w:r w:rsidR="00256C6B" w:rsidRPr="00630A82">
        <w:t>TrakCare</w:t>
      </w:r>
      <w:proofErr w:type="spellEnd"/>
      <w:r w:rsidR="00256C6B" w:rsidRPr="00630A82">
        <w:t xml:space="preserve"> software application (</w:t>
      </w:r>
      <w:proofErr w:type="spellStart"/>
      <w:r w:rsidR="00256C6B" w:rsidRPr="00630A82">
        <w:t>InterSystems</w:t>
      </w:r>
      <w:proofErr w:type="spellEnd"/>
      <w:r w:rsidR="00256C6B" w:rsidRPr="00630A82">
        <w:t xml:space="preserve"> Corporation, Cambridge, MA, USA) is a regional electronic patient record system, which provides data on all hospital admissions to both tertiary or secondary care hospitals in southeast Scotland. When evaluating readmissions with myocardial infarction</w:t>
      </w:r>
      <w:r w:rsidR="00474B8A">
        <w:t xml:space="preserve"> (MI)</w:t>
      </w:r>
      <w:r w:rsidR="00256C6B" w:rsidRPr="00630A82">
        <w:t xml:space="preserve">, all patients were re-adjudicated and classified after review of all clinical notes and investigations, and according to the same criteria used for their index admission. All in-hospital and community deaths are recorded in a comprehensive national database, the General Register of Scotland. </w:t>
      </w:r>
    </w:p>
    <w:p w14:paraId="2C7DD8D2" w14:textId="1B5E9C99" w:rsidR="00B1665B" w:rsidRDefault="00B1665B" w:rsidP="00B1665B">
      <w:pPr>
        <w:pStyle w:val="berschrift2"/>
      </w:pPr>
      <w:r>
        <w:t>High-sensitivity cardiac troponin (</w:t>
      </w:r>
      <w:proofErr w:type="spellStart"/>
      <w:r>
        <w:t>hs-cTn</w:t>
      </w:r>
      <w:proofErr w:type="spellEnd"/>
      <w:r>
        <w:t>) measurements</w:t>
      </w:r>
    </w:p>
    <w:p w14:paraId="6C03A8AE" w14:textId="77777777" w:rsidR="009543E9" w:rsidRDefault="009543E9" w:rsidP="009543E9">
      <w:pPr>
        <w:rPr>
          <w:rFonts w:cs="Times New Roman"/>
          <w:szCs w:val="24"/>
        </w:rPr>
      </w:pPr>
      <w:r w:rsidRPr="00651761">
        <w:rPr>
          <w:rFonts w:cs="Times New Roman"/>
          <w:szCs w:val="24"/>
        </w:rPr>
        <w:t xml:space="preserve">In APACE, </w:t>
      </w:r>
      <w:proofErr w:type="spellStart"/>
      <w:r w:rsidRPr="00651761">
        <w:rPr>
          <w:rFonts w:cs="Times New Roman"/>
          <w:szCs w:val="24"/>
        </w:rPr>
        <w:t>hs-cTnT</w:t>
      </w:r>
      <w:proofErr w:type="spellEnd"/>
      <w:r w:rsidRPr="00651761">
        <w:rPr>
          <w:rFonts w:cs="Times New Roman"/>
          <w:szCs w:val="24"/>
        </w:rPr>
        <w:t xml:space="preserve"> was measured from blood samples collected at presentation to the ED and serially thereafter at one and two hours. </w:t>
      </w:r>
      <w:r w:rsidRPr="00651761">
        <w:rPr>
          <w:rFonts w:cs="Times New Roman"/>
        </w:rPr>
        <w:t xml:space="preserve">Based on studies of the biological variation of </w:t>
      </w:r>
      <w:proofErr w:type="spellStart"/>
      <w:r w:rsidRPr="00651761">
        <w:rPr>
          <w:rFonts w:cs="Times New Roman"/>
        </w:rPr>
        <w:t>cTn</w:t>
      </w:r>
      <w:proofErr w:type="spellEnd"/>
      <w:r w:rsidRPr="00651761">
        <w:rPr>
          <w:rFonts w:cs="Times New Roman"/>
        </w:rPr>
        <w:fldChar w:fldCharType="begin" w:fldLock="1"/>
      </w:r>
      <w:r>
        <w:rPr>
          <w:rFonts w:cs="Times New Roman"/>
        </w:rPr>
        <w:instrText>ADDIN CSL_CITATION {"citationItems":[{"id":"ITEM-1","itemData":{"DOI":"10.1373/clinchem.2009.140616","ISSN":"1530-8561","PMID":"20472824","abstract":"BACKGROUND: High-sensitivity cardiac troponin assays will augment the frequency of increased results, making important the determination of reference change values to distinguish acute from chronic increases. We assessed short- and long-term biological variability of cardiac troponin T (cTnT) in healthy subjects with a novel high-sensitivity (hs) assay.\n\nMETHODS: We collected blood from 20 healthy volunteers at 5 time points for short-term study and biweekly at 4 times from the same volunteers for long-term study. We analyzed serum samples in duplicate with a hscTnT assay on the Roche Modular E170 and computed reference change values (RCVs) for analytical, intraindividual, interindividual, and total change values (CV(A), CV(I), CV(G), and CV(T), respectively) and the index of individuality (II). We calculated RCVs by using a log-normal approach, owing to the skewed results of the data.\n\nRESULTS: Short- and long-term CV(A) values were 53.5% and 98%. CV(I) and CV(G) were 48.2% and 85.9%, respectively, for short-term studies and 94% and 94% for long-term studies. Mean delta values for the within-day study were 58% and -57.5%, and between-day mean delta values were 103.4% and -87%. Within- and between-day IIs were 0.8 and 0.14, respectively.\n\nCONCLUSIONS: The biological variation demonstrated with the hscTnT assay is higher than prior data for cardiac troponin I. This may be attributed to differences in biology or assay imprecision at low concentrations. A short-term change (RCV log normal) of 85% and a long-term change of 315% is necessary to define a changing pattern.","author":[{"dropping-particle":"","family":"Vasile","given":"Vlad C.","non-dropping-particle":"","parse-names":false,"suffix":""},{"dropping-particle":"","family":"Saenger","given":"Amy K.","non-dropping-particle":"","parse-names":false,"suffix":""},{"dropping-particle":"","family":"Kroning","given":"Jean M.","non-dropping-particle":"","parse-names":false,"suffix":""},{"dropping-particle":"","family":"Jaffe","given":"Allan S.","non-dropping-particle":"","parse-names":false,"suffix":""}],"container-title":"Clinical chemistry","id":"ITEM-1","issue":"7","issued":{"date-parts":[["2010","7"]]},"note":"From Duplicate 1 ( \n\nBiological and analytical variability of a novel high-sensitivity cardiac troponin T assay.\n\n- Vasile, Vlad C; Saenger, Amy K; Kroning, Jean M; Jaffe, Allan S )\n\n\n\nVasile VC, Clin Chem 2010\nphysiologic study","page":"1086-90","title":"Biological and analytical variability of a novel high-sensitivity cardiac troponin T assay.","type":"article-journal","volume":"56"},"uris":["http://www.mendeley.com/documents/?uuid=329d55fa-558b-4f54-9f8e-595b6b87e6b7"]},{"id":"ITEM-2","itemData":{"DOI":"10.1373/clinchem.2008.107391","ISSN":"1530-8561","PMID":"18988755","abstract":"BACKGROUND: The improved detection limit and precision in new-generation commercial assays for cardiac troponin I (cTnI) have lowered the 99th-percentile cutoff value, yielding higher frequencies of positive test results. Because serial testing is important in interpreting low concentrations, we evaluated the biological variation of cTnI in both the short (hours) and long (weeks) terms and determined reference change values (RCVs) and the index of individuality (II) for cTnI. METHODS: To assess short- and long-term variation, we collected blood from 12 healthy volunteers hourly for 4 h and from 17 healthy individuals once every other week for 8 weeks, measured cTnI with a high-sensitivity assay (detection limit, 0.2 ng/L), and computed analytical, intraindividual, interindividual, and total CVs (CV(A), CV(I), CV(G), and CV(T), respectively; CV(T) = CV(A) + CV(I) + CV(G)) as well as the II. Because of the slight right-skewness of the data, RCVs were calculated with a lognormal approach. RESULTS: Within-day CV(A), CV(I), and CV(G) values were 8.3%, 9.7%, and 57%, respectively; the corresponding between-day values were 15%, 14%, and 63%. Within- and between-day IIs were 0.21 and 0.39, respectively. Lognormal within-day RCVs were 46% and -32%, respectively; the corresponding between-day values were 81% and -45%. CONCLUSIONS: The low II indicates that population-based reference intervals are less useful for interpreting cTnI values than following serial changes in values in individual patients. This criterion is particularly important for interpreting results from patients who show cTnI increases at low concentrations measured with very high-sensitivity assays, from patients presenting with chest pain (short term), and for evaluating drugs for cardiotoxicity (long term).","author":[{"dropping-particle":"","family":"Wu","given":"Alan H.B. B","non-dropping-particle":"","parse-names":false,"suffix":""},{"dropping-particle":"","family":"Lu","given":"Quynh Anh","non-dropping-particle":"","parse-names":false,"suffix":""},{"dropping-particle":"","family":"Todd","given":"John","non-dropping-particle":"","parse-names":false,"suffix":""},{"dropping-particle":"","family":"Moecks","given":"Joachim","non-dropping-particle":"","parse-names":false,"suffix":""},{"dropping-particle":"","family":"Wians","given":"Frank","non-dropping-particle":"","parse-names":false,"suffix":""}],"container-title":"Clinical chemistry","id":"ITEM-2","issue":"1","issued":{"date-parts":[["2009","1"]]},"note":"From Duplicate 1 (Short- and long-term biological variation in cardiac troponin I measured with a high-sensitivity assay: implications for clinical practice. - Wu, Alan H B; Lu, Quynh Anh; Todd, John; Moecks, Joachim; Wians, Frank)\n\nFrom Duplicate 2 ( \n\nShort- and long-term biological variation in cardiac troponin I measured with a high-sensitivity assay: implications for clinical practice.\n\n- Wu, Alan H B; Lu, Quynh Anh; Todd, John; Moecks, Joachim; Wians, Frank )\n\n\n\nWu AH, Clin Chem 2009\nn= 12+17 healthy volunteers\nhealthy cohort\n\n\nMethods: measurement of variability on short term (every 4h) and long term (every 2 weeks) with hs-cTnI\n\n\nVerwenden in Hämolyse-Paper\n\n\n\n\n\nFrom Duplicate 3 ( \n\nShort- and long-term biological variation in cardiac troponin I measured with a high-sensitivity assay: implications for clinical practice.\n\n- Wu, Alan H B; Lu, Quynh Anh; Todd, John; Moecks, Joachim; Wians, Frank )\n\n\n\nWu AH, Clin Chem 2009\nn= 12+17 healthy volunteers\nhealthy cohort\n\n\n\n\nMethods: measurement of variability on short term (every 4h) and long term (every 2 weeks) with hs-cTnI\n\n\n\n\n\n\nWu AH, Clin Chem 2009\nn= 12+17 healthy volunteers\nhealthy cohort\n\n\nMethods: measurement of variability on short term (every 4h) and long term (every 2 weeks) with hs-cTnI\n\n\nVerwenden in Hämolyse-Paper","page":"52-8","title":"Short- and long-term biological variation in cardiac troponin I measured with a high-sensitivity assay: implications for clinical practice.","type":"article-journal","volume":"55"},"uris":["http://www.mendeley.com/documents/?uuid=dfe2b8d8-c35f-4cd8-9d9f-5258387a3925"]}],"mendeley":{"formattedCitation":"[1,2]","plainTextFormattedCitation":"[1,2]","previouslyFormattedCitation":"[19,20]"},"properties":{"noteIndex":0},"schema":"https://github.com/citation-style-language/schema/raw/master/csl-citation.json"}</w:instrText>
      </w:r>
      <w:r w:rsidRPr="00651761">
        <w:rPr>
          <w:rFonts w:cs="Times New Roman"/>
        </w:rPr>
        <w:fldChar w:fldCharType="separate"/>
      </w:r>
      <w:r w:rsidRPr="00C432E6">
        <w:rPr>
          <w:rFonts w:cs="Times New Roman"/>
          <w:noProof/>
        </w:rPr>
        <w:t>[1,2]</w:t>
      </w:r>
      <w:r w:rsidRPr="00651761">
        <w:rPr>
          <w:rFonts w:cs="Times New Roman"/>
        </w:rPr>
        <w:fldChar w:fldCharType="end"/>
      </w:r>
      <w:r w:rsidRPr="00651761">
        <w:rPr>
          <w:rFonts w:cs="Times New Roman"/>
        </w:rPr>
        <w:t xml:space="preserve"> as well as on data from previous chest pain cohort studies</w:t>
      </w:r>
      <w:r w:rsidRPr="00651761">
        <w:rPr>
          <w:rFonts w:cs="Times New Roman"/>
        </w:rPr>
        <w:fldChar w:fldCharType="begin" w:fldLock="1"/>
      </w:r>
      <w:r>
        <w:rPr>
          <w:rFonts w:cs="Times New Roman"/>
        </w:rPr>
        <w:instrText>ADDIN CSL_CITATION {"citationItems":[{"id":"ITEM-1","itemData":{"DOI":"10.1373/clinchem.2008.114728","ISSN":"1530-8561","PMID":"19299542","abstract":"BACKGROUND: We sought to determine the diagnostic accuracy of the cardiac troponin I (cTnI) VITROS(R) Troponin I-ES assay for early detection of acute myocardial infarction (AMI) and for risk prediction of adverse events in patients with symptoms of acute coronary syndrome (ACS).\n\nMETHODS: cTnI was measured on admission and approximately 6 h postadmission in 381 patients. The 99th percentile cTnI concentration (0.034 microg/L) and change [delta (delta)] between admission and follow-up concentrations were evaluated in diagnostic sensitivity and specificity calculations. Risk of cardiac event or death within 60 days was evaluated by Cox proportional hazards regression.\n\nRESULTS: AMI occurred in 52 patients. Diagnostic sensitivities (95% CI) of admission and follow-up cTnIs for AMI were 69% (55%-81%) and 94% (84%-99%), respectively. The corresponding specificities (95% CI) were 78% (73%-82%) and 81% (77%-85%), and ROC curve areas were 0.82 vs 0.96 (P &lt; 0.001). Deltas between admission and follow-up cTnI &gt;30% had a sensitivity of 75% (95% CI 61%-86%) and a specificity of 91% (95% CI 87%-94%). During follow-up, 1 cardiac death, 2 noncardiac deaths, 52 AMIs, 6 coronary artery bypass grafts, and 43 percutanous coronary interventions occurred in 62 patients. A delta cTnI &gt;30%, when added to either initial cTnI &gt;0.034 microg/L or follow-up cTnI &gt;0.034 microg/L, improved risk stratification for cardiac event or death (P &lt; 0.001).\n\nCONCLUSIONS: Admission cTnI measured by the VITROS ES assay is a sensitive biomarker for detection of AMI. Utilizing &gt;30% cTnI delta in addition to either the baseline or follow-up concentration improved both specificity and risk assessment in patients presenting with symptoms of ACS.","author":[{"dropping-particle":"","family":"Apple","given":"Fred S.","non-dropping-particle":"","parse-names":false,"suffix":""},{"dropping-particle":"","family":"Pearce","given":"Lesly A.","non-dropping-particle":"","parse-names":false,"suffix":""},{"dropping-particle":"","family":"Smith","given":"Stephen W.","non-dropping-particle":"","parse-names":false,"suffix":""},{"dropping-particle":"","family":"Kaczmarek","given":"Jason M.","non-dropping-particle":"","parse-names":false,"suffix":""},{"dropping-particle":"","family":"Murakami","given":"MaryAnn M.","non-dropping-particle":"","parse-names":false,"suffix":""}],"container-title":"Clinical chemistry","id":"ITEM-1","issue":"5","issued":{"date-parts":[["2009","5"]]},"page":"930-7","title":"Role of monitoring changes in sensitive cardiac troponin I assay results for early diagnosis of myocardial infarction and prediction of risk of adverse events.","type":"article-journal","volume":"55"},"uris":["http://www.mendeley.com/documents/?uuid=74f3632c-6236-45f2-81bd-933bb932621f"]},{"id":"ITEM-2","itemData":{"DOI":"10.1373/clinchem.2011.171496","ISSN":"1530-8561","PMID":"22258764","abstract":"BACKGROUND: High-sensitivity cardiac troponin T (cTnT) assays detect small clinically important myocardial infarctions (MI) but also yield higher rates of false-positive results owing to increased concentrations sometimes present in patients without MI. Better understanding is needed of factors influencing the 99th percentile of cTnT concentrations across populations and the frequency of changes in cTnT concentrations &gt;20% often used in combination with increased cTnT concentrations for diagnosis of MI.\n\nMETHODS: cTnT percentiles were determined by use of the Elecsys® hscTnT immunoassay (Modular® Analytics E170) in a random population sample, in emergency room (ER) patients, and in patients with non-ST-elevation MI (NSTEMI). Changes in cTnT concentrations were determined in hospitalized patients without MI.\n\nRESULTS: The 99th cTnT percentile in a random population sample (median age, 65 years) was 24 ng/L. In ER patients &lt;65 years old without obvious conditions that increase cTnT, the 99th cTnT percentile was 12 ng/L with little age dependence, whereas in those &gt;65 years old it was 82 ng/L and highly age dependent. In hospitalized patients without MI the 97.5th percentile for change in the cTnT concentration was 51%-67%. cTnT remained below the 99th percentile (12 ng/L) in 1% of patients with NSTEMI until 8.5 h after symptom onset and 6 h after ER arrival.\n\nCONCLUSIONS: Age &gt;65 years was the dominant factor associated with increased cTnT in ER patients. This age association was more prominent in ER patients than in a random population sample. Changes in serial cTnT concentrations &gt;20% were common in hospitalized patients without MI.","author":[{"dropping-particle":"","family":"Hammarsten","given":"Ola","non-dropping-particle":"","parse-names":false,"suffix":""},{"dropping-particle":"","family":"Fu","given":"Michael L.X. X","non-dropping-particle":"","parse-names":false,"suffix":""},{"dropping-particle":"","family":"Sigurjonsdottir","given":"Runa","non-dropping-particle":"","parse-names":false,"suffix":""},{"dropping-particle":"","family":"Petzold","given":"Max","non-dropping-particle":"","parse-names":false,"suffix":""},{"dropping-particle":"","family":"Said","given":"Lina","non-dropping-particle":"","parse-names":false,"suffix":""},{"dropping-particle":"","family":"Landin-Wilhelmsen","given":"Kerstin","non-dropping-particle":"","parse-names":false,"suffix":""},{"dropping-particle":"","family":"Widgren","given":"Bengt","non-dropping-particle":"","parse-names":false,"suffix":""},{"dropping-particle":"","family":"Larsson","given":"Mårten","non-dropping-particle":"","parse-names":false,"suffix":""},{"dropping-particle":"","family":"Johanson","given":"Per","non-dropping-particle":"","parse-names":false,"suffix":""}],"container-title":"Clinical chemistry","id":"ITEM-2","issue":"3","issued":{"date-parts":[["2012","3"]]},"page":"628-37","title":"Troponin T percentiles from a random population sample, emergency room patients and patients with myocardial infarction.","type":"article-journal","volume":"58"},"uris":["http://www.mendeley.com/documents/?uuid=86eed4fa-3dbb-49e0-aa0a-8d2294c4bb96"]}],"mendeley":{"formattedCitation":"[3,4]","plainTextFormattedCitation":"[3,4]","previouslyFormattedCitation":"[21,22]"},"properties":{"noteIndex":0},"schema":"https://github.com/citation-style-language/schema/raw/master/csl-citation.json"}</w:instrText>
      </w:r>
      <w:r w:rsidRPr="00651761">
        <w:rPr>
          <w:rFonts w:cs="Times New Roman"/>
        </w:rPr>
        <w:fldChar w:fldCharType="separate"/>
      </w:r>
      <w:r w:rsidRPr="00C432E6">
        <w:rPr>
          <w:rFonts w:cs="Times New Roman"/>
          <w:noProof/>
        </w:rPr>
        <w:t>[3,4]</w:t>
      </w:r>
      <w:r w:rsidRPr="00651761">
        <w:rPr>
          <w:rFonts w:cs="Times New Roman"/>
        </w:rPr>
        <w:fldChar w:fldCharType="end"/>
      </w:r>
      <w:r w:rsidRPr="00651761">
        <w:rPr>
          <w:rFonts w:cs="Times New Roman"/>
        </w:rPr>
        <w:t>, a significant absolute change was defined as a rise or fall of at least 4ng/L within two hours, and 2ng/L within one hour</w:t>
      </w:r>
      <w:r w:rsidRPr="00651761">
        <w:rPr>
          <w:rFonts w:cs="Times New Roman"/>
        </w:rPr>
        <w:fldChar w:fldCharType="begin" w:fldLock="1"/>
      </w:r>
      <w:r>
        <w:rPr>
          <w:rFonts w:cs="Times New Roman"/>
        </w:rPr>
        <w:instrText>ADDIN CSL_CITATION {"citationItems":[{"id":"ITEM-1","itemData":{"DOI":"10.1016/j.ahj.2012.11.010","ISSN":"1097-6744","PMID":"23453106","abstract":"BACKGROUND: It is unknown whether unstable angina (UA) results in previously nondetectable low-level myocardial necrosis. We compared the pattern of myocardial necrosis between patients with UA, acute myocardial infarction (AMI), and noncardiac chest pain (NCCP) using 3 high-sensitive cardiac troponin (hs-cTn) assays.\n\nMETHODS: In a multicenter study, we enrolled 842 unselected patients with acute chest pain in the emergency department. Roche hs-cTnT, Beckman Coulter hs-cTnI, and Siemens hs-cTnI were determined in a blinded fashion at presentation and after 1, 2, 3, and 6 hours. The final diagnosis was adjudicated by 2 independent cardiologists.\n\nRESULTS: A change in hs-cTn of ≥2 ng/L within the first hour after presentation as assessed with Roche hs-cTnT, Beckman Coulter hs-cTnI, and Siemens hs-cTnI was observed in 26%, 31%, and 32% of patients with UA (n = 115) compared with 91%, 92%, and 96% in patients with AMI (n = 120) and 12%, 23%, and 16% in patients with NCCP (n = 415; P &lt; .001 for all comparisons between UA and AMI, P &gt; .05 for all comparisons between UA and NCCP). In patients with UA, such a 1-hour change in hs-cTn of ≥2 ng/L was associated with an increased risk of death or AMI during the 30-day follow-up (P = .003, .03, .03) and 2-year follow-up (P &lt; .001, .002, and .006).\n\nCONCLUSIONS: In marked contrast to patients with AMI, most patients with UA do not exhibit relevant hs-cTn changes. The minority of UA with hs-cTn changes, however, has a significantly worse short- and long-term outcome.","author":[{"dropping-particle":"","family":"Reichlin","given":"Tobias","non-dropping-particle":"","parse-names":false,"suffix":""},{"dropping-particle":"","family":"Twerenbold","given":"Raphael","non-dropping-particle":"","parse-names":false,"suffix":""},{"dropping-particle":"","family":"Maushart","given":"Claudia","non-dropping-particle":"","parse-names":false,"suffix":""},{"dropping-particle":"","family":"Reiter","given":"Miriam","non-dropping-particle":"","parse-names":false,"suffix":""},{"dropping-particle":"","family":"Moehring","given":"Berit","non-dropping-particle":"","parse-names":false,"suffix":""},{"dropping-particle":"","family":"Schaub","given":"Nora","non-dropping-particle":"","parse-names":false,"suffix":""},{"dropping-particle":"","family":"Balmelli","given":"Cathrin","non-dropping-particle":"","parse-names":false,"suffix":""},{"dropping-particle":"","family":"Rubini Gimenez","given":"Maria","non-dropping-particle":"","parse-names":false,"suffix":""},{"dropping-particle":"","family":"Hoeller","given":"Rebeca","non-dropping-particle":"","parse-names":false,"suffix":""},{"dropping-particle":"","family":"Sakarikos","given":"Konstantin","non-dropping-particle":"","parse-names":false,"suffix":""},{"dropping-particle":"","family":"Drexler","given":"Beatrice","non-dropping-particle":"","parse-names":false,"suffix":""},{"dropping-particle":"","family":"Haaf","given":"Philip","non-dropping-particle":"","parse-names":false,"suffix":""},{"dropping-particle":"","family":"Osswald","given":"Stefan","non-dropping-particle":"","parse-names":false,"suffix":""},{"dropping-particle":"","family":"Mueller","given":"Christian","non-dropping-particle":"","parse-names":false,"suffix":""}],"container-title":"American heart journal","id":"ITEM-1","issue":"3","issued":{"date-parts":[["2013","3"]]},"note":"From Duplicate 3 (Risk stratification in patients with unstable angina using absolute serial changes of 3 high-sensitive troponin assays. - Reichlin, Tobias; Twerenbold, Raphael; Maushart, Claudia; Reiter, Miriam; Moehring, Berit; Schaub, Nora; Balmelli, Cathrin; Rubini Gimenez, Maria; Hoeller, Rebeca; Sakarikos, Konstantin; Drexler, Beatrice; Haaf, Philip; Osswald, Stefan; Mueller, Christian)\n\nReichlin Tobias, AHJ 2013\nn=842 APACE\nobservational cohort\n\nMethods: APACE, change of &amp;gt;2\n\nResults: teil der UA wie NCCP, andere 25% schlechtere Prognose, higher short-term risk for UA patients\n\nConclusion: In marked contrast to patients with AMI, most patients with UA do not exhibit relevant hs-cTn changes. The minority of UA with hs-cTn changes, however, has a significantly worse short- and long-term outcome.\n\nLimitations: Diagnosis of UA challenging; APACE","page":"371-8.e3","title":"Risk stratification in patients with unstable angina using absolute serial changes of 3 high-sensitive troponin assays","type":"article-journal","volume":"165"},"uris":["http://www.mendeley.com/documents/?uuid=b63ce26f-d6f3-40fc-bb94-9ab4f2a17b01"]}],"mendeley":{"formattedCitation":"[5]","plainTextFormattedCitation":"[5]","previouslyFormattedCitation":"[12]"},"properties":{"noteIndex":0},"schema":"https://github.com/citation-style-language/schema/raw/master/csl-citation.json"}</w:instrText>
      </w:r>
      <w:r w:rsidRPr="00651761">
        <w:rPr>
          <w:rFonts w:cs="Times New Roman"/>
        </w:rPr>
        <w:fldChar w:fldCharType="separate"/>
      </w:r>
      <w:r w:rsidRPr="00C432E6">
        <w:rPr>
          <w:rFonts w:cs="Times New Roman"/>
          <w:noProof/>
        </w:rPr>
        <w:t>[5]</w:t>
      </w:r>
      <w:r w:rsidRPr="00651761">
        <w:rPr>
          <w:rFonts w:cs="Times New Roman"/>
        </w:rPr>
        <w:fldChar w:fldCharType="end"/>
      </w:r>
      <w:r w:rsidRPr="00651761">
        <w:rPr>
          <w:rFonts w:cs="Times New Roman"/>
        </w:rPr>
        <w:t>.</w:t>
      </w:r>
      <w:r w:rsidRPr="00651761">
        <w:rPr>
          <w:rFonts w:cs="Times New Roman"/>
          <w:szCs w:val="24"/>
        </w:rPr>
        <w:t xml:space="preserve"> </w:t>
      </w:r>
    </w:p>
    <w:p w14:paraId="17AA5561" w14:textId="6DF18969" w:rsidR="009543E9" w:rsidRPr="009543E9" w:rsidRDefault="009543E9" w:rsidP="00924D72">
      <w:r w:rsidRPr="00651761">
        <w:rPr>
          <w:rFonts w:cs="Times New Roman"/>
          <w:szCs w:val="24"/>
        </w:rPr>
        <w:t xml:space="preserve">In High-STEACS, </w:t>
      </w:r>
      <w:proofErr w:type="spellStart"/>
      <w:r w:rsidRPr="00651761">
        <w:rPr>
          <w:rFonts w:cs="Times New Roman"/>
          <w:szCs w:val="24"/>
        </w:rPr>
        <w:t>hs-cTnI</w:t>
      </w:r>
      <w:proofErr w:type="spellEnd"/>
      <w:r w:rsidRPr="00651761">
        <w:rPr>
          <w:rFonts w:cs="Times New Roman"/>
          <w:szCs w:val="24"/>
        </w:rPr>
        <w:t xml:space="preserve"> was measured at presentation</w:t>
      </w:r>
      <w:r w:rsidRPr="00651761">
        <w:rPr>
          <w:rFonts w:cs="Times New Roman"/>
        </w:rPr>
        <w:t xml:space="preserve"> and repeated 6 or 12 hours after the onset of symptoms at the discretion of the clinician.</w:t>
      </w:r>
    </w:p>
    <w:p w14:paraId="2A5A8A93" w14:textId="06AE52B1" w:rsidR="00B1665B" w:rsidRPr="00B1665B" w:rsidRDefault="00B1665B" w:rsidP="00B1665B">
      <w:pPr>
        <w:pStyle w:val="berschrift3"/>
      </w:pPr>
      <w:r>
        <w:lastRenderedPageBreak/>
        <w:t>Hs-</w:t>
      </w:r>
      <w:proofErr w:type="spellStart"/>
      <w:r>
        <w:t>cTn</w:t>
      </w:r>
      <w:r w:rsidR="00106FBA">
        <w:t>T</w:t>
      </w:r>
      <w:proofErr w:type="spellEnd"/>
      <w:r>
        <w:t xml:space="preserve"> assay used in APACE</w:t>
      </w:r>
    </w:p>
    <w:p w14:paraId="0DA87442" w14:textId="2D79F8CD" w:rsidR="009543E9" w:rsidRPr="00630A82" w:rsidRDefault="009543E9" w:rsidP="009543E9">
      <w:pPr>
        <w:rPr>
          <w:bCs/>
        </w:rPr>
      </w:pPr>
      <w:r w:rsidRPr="00651761">
        <w:rPr>
          <w:rFonts w:cs="Times New Roman"/>
        </w:rPr>
        <w:t>After centrifugation, samples were frozen at -80°C until assayed in a blinded fashion in a dedicated core laboratory</w:t>
      </w:r>
      <w:r w:rsidRPr="00651761">
        <w:rPr>
          <w:rFonts w:cs="Times New Roman"/>
        </w:rPr>
        <w:fldChar w:fldCharType="begin" w:fldLock="1"/>
      </w:r>
      <w:r>
        <w:rPr>
          <w:rFonts w:cs="Times New Roman"/>
        </w:rPr>
        <w:instrText>ADDIN CSL_CITATION {"citationItems":[{"id":"ITEM-1","itemData":{"DOI":"dx.doi.org/10.1373/clinchem.2010.159350","ISBN":"0002-8703","ISSN":"0098-7484","PMID":"20691825","abstract":"Context Introduction of highly sensitive troponin assays into clinical practice has substantially improved the evaluation of patients with chest pain.Objective To evaluate the diagnostic performance of a highly sensitive troponin I (hsTnI) assay compared with a contemporary troponin I (cTnI) assay and their serial changes in the diagnosis of acute myocardial infarction (AMI).Design, Setting, and Patients A total of 1818 patients with suspected acute coronary syndrome were consecutively enrolled at the chest pain units of the University Heart Center Hamburg, the University Medical Center Mainz, and the Federal Armed Forces Hospital Koblenz, all in Germany, from 2007 to 2008. Twelve biomarkers including hsTnI (level of detection, 3.4 pg/mL) and cTnI (level of detection, 10 pg/mL) were measured on admission and after 3 and 6 hours.Main Outcome Measures Diagnostic performance for AMI of baseline and serial changes in hsTnI and cTnI results at 3 hours after admission to the emergency department.Results Of the 1818 patients, 413 (22.7%) were diagnosed as having AMI. For discrimination of AMI, the area under the receiver operating characteristic (ROC) curve was 0.96 (95% CI, 0.95-0.97) for hsTnI on admission and 0.92 (95% CI, 0.90-0.94) for cTnI on admission. Both were superior to the other evaluated diagnostic biomarkers. The use of hsTnI at admission (with the diagnostic cutoff value at the 99th percentile of 30 pg/mL) had a sensitivity of 82.3% and a negative predictive value (for ruling out AMI) of 94.7%. The use of cTnI (with the diagnostic cutoff value at the 99th percentile of 32 pg/mL) at admission had a sensitivity of 79.4% and a negative predictive value of 94.0%. Using levels obtained at 3 hours after admission, the sensitivity was 98.2% and the negative predictive value was 99.4% for both hsTnI and cTnI assays. Combining the 99th percentile cutoff at admission with the serial change in troponin concentration within 3 hours, the positive predictive value (for ruling in AMI) for hsTnI increased from 75.1% at admission to 95.8% after 3 hours, and for cTnI increased from 80.9% at admission to 96.1% after 3 hours.Conclusions Among patients with suspected acute coronary syndrome, hsTnI or cTnI determination 3 hours after admission may facilitate early rule-out of AMI. A serial change in hsTnI or cTnI levels from admission (using the 99th percentile diagnostic cutoff value) to 3 hours after admission may facilitate an early diagnosis of AMI.","author":[{"dropping-particle":"","family":"Agarwal","given":"Sunil K.","non-dropping-particle":"","parse-names":false,"suffix":""}],"container-title":"Clin. Chem.","id":"ITEM-1","issue":"24","issued":{"date-parts":[["2011"]]},"page":"891-897","title":"Sources of variability in measurements of cardiac troponin T in a community-based sample: the atherosclerosis risk in communities study","type":"article-journal","volume":"57"},"uris":["http://www.mendeley.com/documents/?uuid=b6218868-a9df-3e15-a105-215fe57446eb"]}],"mendeley":{"formattedCitation":"[6]","plainTextFormattedCitation":"[6]","previouslyFormattedCitation":"[1]"},"properties":{"noteIndex":0},"schema":"https://github.com/citation-style-language/schema/raw/master/csl-citation.json"}</w:instrText>
      </w:r>
      <w:r w:rsidRPr="00651761">
        <w:rPr>
          <w:rFonts w:cs="Times New Roman"/>
        </w:rPr>
        <w:fldChar w:fldCharType="separate"/>
      </w:r>
      <w:r w:rsidRPr="00C432E6">
        <w:rPr>
          <w:rFonts w:cs="Times New Roman"/>
          <w:noProof/>
        </w:rPr>
        <w:t>[6]</w:t>
      </w:r>
      <w:r w:rsidRPr="00651761">
        <w:rPr>
          <w:rFonts w:cs="Times New Roman"/>
        </w:rPr>
        <w:fldChar w:fldCharType="end"/>
      </w:r>
      <w:r w:rsidRPr="00651761">
        <w:rPr>
          <w:rFonts w:cs="Times New Roman"/>
        </w:rPr>
        <w:t xml:space="preserve">. An additional set of </w:t>
      </w:r>
      <w:proofErr w:type="spellStart"/>
      <w:r w:rsidRPr="00651761">
        <w:rPr>
          <w:rFonts w:cs="Times New Roman"/>
        </w:rPr>
        <w:t>hs-cTnT</w:t>
      </w:r>
      <w:proofErr w:type="spellEnd"/>
      <w:r w:rsidRPr="00651761">
        <w:rPr>
          <w:rFonts w:cs="Times New Roman"/>
        </w:rPr>
        <w:t xml:space="preserve"> measurements was performed from fresh blood after centrifugation in patients treated in sites using </w:t>
      </w:r>
      <w:proofErr w:type="spellStart"/>
      <w:r w:rsidRPr="00651761">
        <w:rPr>
          <w:rFonts w:cs="Times New Roman"/>
        </w:rPr>
        <w:t>hs-cTnT</w:t>
      </w:r>
      <w:proofErr w:type="spellEnd"/>
      <w:r w:rsidRPr="00651761">
        <w:rPr>
          <w:rFonts w:cs="Times New Roman"/>
        </w:rPr>
        <w:t xml:space="preserve"> as part of routine clinical care. Hs-</w:t>
      </w:r>
      <w:proofErr w:type="spellStart"/>
      <w:r w:rsidRPr="00651761">
        <w:rPr>
          <w:rFonts w:cs="Times New Roman"/>
        </w:rPr>
        <w:t>cTnT</w:t>
      </w:r>
      <w:proofErr w:type="spellEnd"/>
      <w:r w:rsidRPr="00651761">
        <w:rPr>
          <w:rFonts w:cs="Times New Roman"/>
        </w:rPr>
        <w:t xml:space="preserve"> was measured on the </w:t>
      </w:r>
      <w:proofErr w:type="spellStart"/>
      <w:r w:rsidRPr="00651761">
        <w:rPr>
          <w:rFonts w:cs="Times New Roman"/>
        </w:rPr>
        <w:t>Elecsys</w:t>
      </w:r>
      <w:proofErr w:type="spellEnd"/>
      <w:r w:rsidRPr="00651761">
        <w:rPr>
          <w:rFonts w:cs="Times New Roman"/>
        </w:rPr>
        <w:t xml:space="preserve"> 2010 (Roche). An imprecision </w:t>
      </w:r>
      <w:r w:rsidRPr="00450D3C">
        <w:t xml:space="preserve">corresponding to 10% coefficient of variation was reported at 13 ng/L, </w:t>
      </w:r>
      <w:r>
        <w:t xml:space="preserve">limit of detection at 5 ng/L, limit of blank at 3 ng/L, </w:t>
      </w:r>
      <w:r w:rsidRPr="00450D3C">
        <w:t>and the 99th percentile of a healthy reference population was reported at 14 ng/L</w:t>
      </w:r>
      <w:r w:rsidRPr="00450D3C">
        <w:fldChar w:fldCharType="begin" w:fldLock="1"/>
      </w:r>
      <w:r>
        <w:instrText>ADDIN CSL_CITATION {"citationItems":[{"id":"ITEM-1","itemData":{"DOI":"10.1373/clinchem.2009.132654","ISBN":"4962215655","ISSN":"1530-8561","PMID":"19959623","author":[{"dropping-particle":"","family":"Giannitsis","given":"Evangelos","non-dropping-particle":"","parse-names":false,"suffix":""},{"dropping-particle":"","family":"Kurz","given":"Kerstin","non-dropping-particle":"","parse-names":false,"suffix":""},{"dropping-particle":"","family":"Hallermayer","given":"Klaus","non-dropping-particle":"","parse-names":false,"suffix":""},{"dropping-particle":"","family":"Jarausch","given":"Jochen","non-dropping-particle":"","parse-names":false,"suffix":""},{"dropping-particle":"","family":"Jaffe","given":"Allan S.","non-dropping-particle":"","parse-names":false,"suffix":""},{"dropping-particle":"","family":"Katus","given":"Hugo A.","non-dropping-particle":"","parse-names":false,"suffix":""}],"container-title":"Clinical Chemistry","id":"ITEM-1","issue":"2","issued":{"date-parts":[["2010","3"]]},"page":"254-61","title":"Analytical Validation of a High-Sensitivity Cardiac Troponin T Assay","type":"article-journal","volume":"56"},"uris":["http://www.mendeley.com/documents/?uuid=5c2961f8-bd07-4dd9-aa0b-4136140ee8c3"]}],"mendeley":{"formattedCitation":"[7]","plainTextFormattedCitation":"[7]","previouslyFormattedCitation":"[2]"},"properties":{"noteIndex":0},"schema":"https://github.com/citation-style-language/schema/raw/master/csl-citation.json"}</w:instrText>
      </w:r>
      <w:r w:rsidRPr="00450D3C">
        <w:fldChar w:fldCharType="separate"/>
      </w:r>
      <w:r w:rsidRPr="00C432E6">
        <w:rPr>
          <w:noProof/>
        </w:rPr>
        <w:t>[7]</w:t>
      </w:r>
      <w:r w:rsidRPr="00450D3C">
        <w:fldChar w:fldCharType="end"/>
      </w:r>
      <w:r w:rsidRPr="00450D3C">
        <w:t>.</w:t>
      </w:r>
    </w:p>
    <w:p w14:paraId="654D4556" w14:textId="514412C6" w:rsidR="00651761" w:rsidRPr="00651761" w:rsidRDefault="00651761" w:rsidP="00651761">
      <w:pPr>
        <w:rPr>
          <w:rFonts w:cs="Times New Roman"/>
          <w:szCs w:val="24"/>
        </w:rPr>
      </w:pPr>
    </w:p>
    <w:p w14:paraId="461F1EED" w14:textId="3E5E33E7" w:rsidR="00391371" w:rsidRPr="00630A82" w:rsidRDefault="00391371" w:rsidP="00B1665B">
      <w:pPr>
        <w:pStyle w:val="berschrift3"/>
      </w:pPr>
      <w:r w:rsidRPr="00630A82">
        <w:t xml:space="preserve">Contemporary and </w:t>
      </w:r>
      <w:proofErr w:type="spellStart"/>
      <w:r w:rsidR="00B1665B">
        <w:t>hs-cTnI</w:t>
      </w:r>
      <w:proofErr w:type="spellEnd"/>
      <w:r w:rsidRPr="00630A82">
        <w:t xml:space="preserve"> assays</w:t>
      </w:r>
      <w:r w:rsidR="00C54628" w:rsidRPr="00630A82">
        <w:t xml:space="preserve"> used in </w:t>
      </w:r>
      <w:r w:rsidR="00106FBA">
        <w:t xml:space="preserve">APACE and </w:t>
      </w:r>
      <w:r w:rsidR="00B1665B">
        <w:t>High-STEACS</w:t>
      </w:r>
    </w:p>
    <w:p w14:paraId="32F2340E" w14:textId="300FFD68" w:rsidR="00391371" w:rsidRPr="00630A82" w:rsidRDefault="00391371" w:rsidP="0061390F">
      <w:pPr>
        <w:rPr>
          <w:rFonts w:eastAsia="Times New Roman"/>
        </w:rPr>
      </w:pPr>
      <w:r w:rsidRPr="00630A82">
        <w:t>As standard of care, a contemporary sensitive cardiac troponin I assay (</w:t>
      </w:r>
      <w:r w:rsidRPr="00630A82">
        <w:rPr>
          <w:rFonts w:eastAsia="Times New Roman"/>
        </w:rPr>
        <w:t>ARCHITECT</w:t>
      </w:r>
      <w:r w:rsidRPr="00630A82">
        <w:rPr>
          <w:rFonts w:eastAsia="Times New Roman"/>
          <w:i/>
          <w:iCs/>
          <w:vertAlign w:val="subscript"/>
        </w:rPr>
        <w:t>STAT</w:t>
      </w:r>
      <w:r w:rsidRPr="00630A82">
        <w:rPr>
          <w:rFonts w:eastAsia="Times New Roman"/>
          <w:iCs/>
          <w:vertAlign w:val="subscript"/>
        </w:rPr>
        <w:t xml:space="preserve"> </w:t>
      </w:r>
      <w:r w:rsidRPr="00630A82">
        <w:rPr>
          <w:rFonts w:eastAsia="Times New Roman"/>
        </w:rPr>
        <w:t>troponin I assay, Abbott Laboratories, Abbott Park, IL</w:t>
      </w:r>
      <w:r w:rsidRPr="00630A82">
        <w:t xml:space="preserve">) was used </w:t>
      </w:r>
      <w:r w:rsidR="00106FBA">
        <w:t xml:space="preserve">in High-STEACS </w:t>
      </w:r>
      <w:r w:rsidRPr="00630A82">
        <w:t xml:space="preserve">for clinical decision-making and </w:t>
      </w:r>
      <w:r w:rsidR="00BA5A98" w:rsidRPr="00630A82">
        <w:t>reported</w:t>
      </w:r>
      <w:r w:rsidRPr="00630A82">
        <w:t xml:space="preserve"> to the clinicians responsible for the patient’s care. This </w:t>
      </w:r>
      <w:r w:rsidRPr="00630A82">
        <w:rPr>
          <w:rFonts w:eastAsia="Times New Roman"/>
        </w:rPr>
        <w:t>assay has been validated in our institution</w:t>
      </w:r>
      <w:r w:rsidR="00B450F0" w:rsidRPr="00630A82">
        <w:rPr>
          <w:rFonts w:eastAsia="Times New Roman"/>
        </w:rPr>
        <w:fldChar w:fldCharType="begin" w:fldLock="1"/>
      </w:r>
      <w:r w:rsidR="00C432E6">
        <w:rPr>
          <w:rFonts w:eastAsia="Times New Roman"/>
        </w:rPr>
        <w:instrText>ADDIN CSL_CITATION {"citationItems":[{"id":"ITEM-1","itemData":{"DOI":"10.1001/jama.2011.338","ISBN":"1538-3598 (Electronic)\\r0098-7484 (Linking)","PMID":"21427373","abstract":"CONTEXT Although troponin assays have become increasingly more sensitive, it is unclear whether further reductions in the threshold of detection for plasma troponin concentrations will improve clinical outcomes in patients with suspected acute coronary syndrome (ACS). OBJECTIVE To determine whether lowering the diagnostic threshold for myocardial infarction (MI) with a sensitive troponin assay could improve clinical outcomes. DESIGN, SETTING, AND PATIENTS All consecutive patients admitted with suspected ACS to the Royal Infirmary of Edinburgh, Edinburgh, Scotland, before (n = 1038; February 1-July 31, 2008, during the validation phase) and after (n = 1054; February 1-July 31, 2009, during the implementation phase) lowering the threshold of detection for myocardial necrosis from 0.20 to 0.05 ng/mL with a sensitive troponin I assay were stratified into 3 groups (&lt;0.05 ng/mL, 0.05-0.19 ng/mL, and ≥0.20 ng/mL). During the validation phase, only concentrations above the original diagnostic threshold of 0.20 ng/mL were reported to clinicians. MAIN OUTCOME MEASURE Event-free survival (recurrent MI and death) at 1 year in patients grouped by plasma troponin concentrations. RESULTS Plasma troponin concentrations were less than 0.05 ng/mL in 1340 patients (64%), 0.05 to 0.19 ng/mL in 170 patients (8%), and 0.20 ng/mL or more in 582 patients (28%). During the validation phase, 39% of patients with plasma troponin concentrations of 0.05 to 0.19 ng/mL were dead or had recurrent MI at 1 year compared with 7% and 24% of those patients with troponin concentrations of less than 0.05 ng/mL (P &lt; .001) or 0.20 ng/mL or more (P = .007), respectively. During the implementation phase, lowering the diagnostic threshold to 0.05 ng/mL was associated with a lower risk of death and recurrent MI (from 39% to 21%) in patients with troponin concentrations of 0.05 to 0.19 ng/mL (odds ratio, 0.42; 95% confidence interval, 0.24-0.84; P = .01). CONCLUSIONS In patients with suspected ACS, implementation of a sensitive troponin assay increased the diagnosis of MI and identified patients at high risk of recurrent MI and death. Lowering the diagnostic threshold of plasma troponin was associated with major reductions in morbidity and mortality.","author":[{"dropping-particle":"","family":"Mills","given":"Nicholas L","non-dropping-particle":"","parse-names":false,"suffix":""},{"dropping-particle":"","family":"Churchhouse","given":"Antonia M D","non-dropping-particle":"","parse-names":false,"suffix":""},{"dropping-particle":"","family":"Lee","given":"Kuan Ken","non-dropping-particle":"","parse-names":false,"suffix":""},{"dropping-particle":"","family":"Anand","given":"Atul","non-dropping-particle":"","parse-names":false,"suffix":""},{"dropping-particle":"","family":"Gamble","given":"David","non-dropping-particle":"","parse-names":false,"suffix":""},{"dropping-particle":"V","family":"Shah","given":"Anoop S","non-dropping-particle":"","parse-names":false,"suffix":""},{"dropping-particle":"","family":"Paterson","given":"Elspeth","non-dropping-particle":"","parse-names":false,"suffix":""},{"dropping-particle":"","family":"MacLeod","given":"Margaret","non-dropping-particle":"","parse-names":false,"suffix":""},{"dropping-particle":"","family":"Graham","given":"Catriona","non-dropping-particle":"","parse-names":false,"suffix":""},{"dropping-particle":"","family":"Walker","given":"Simon","non-dropping-particle":"","parse-names":false,"suffix":""},{"dropping-particle":"","family":"Denvir","given":"Martin a","non-dropping-particle":"","parse-names":false,"suffix":""},{"dropping-particle":"","family":"Fox","given":"Keith a a","non-dropping-particle":"","parse-names":false,"suffix":""},{"dropping-particle":"","family":"Newby","given":"David E","non-dropping-particle":"","parse-names":false,"suffix":""}],"container-title":"JAMA","id":"ITEM-1","issue":"12","issued":{"date-parts":[["2011","3","23"]]},"page":"1210-6","title":"Implementation of a sensitive troponin I assay and risk of recurrent myocardial infarction and death in patients with suspected acute coronary syndrome.","type":"article-journal","volume":"305"},"uris":["http://www.mendeley.com/documents/?uuid=8744efb8-c80c-4dce-9c5e-b1ad8dc22f43"]},{"id":"ITEM-2","itemData":{"DOI":"10.1136/bmj.e1533","ISBN":"1756-1833 (Electronic)\\r0959-535X (Linking)","ISSN":"1756-1833","PMID":"22422871","abstract":"To assess the relation between troponin concentration, assay precision, and clinical outcomes in patients with suspected acute coronary syndrome.","author":[{"dropping-particle":"","family":"Mills","given":"Nicholas L","non-dropping-particle":"","parse-names":false,"suffix":""},{"dropping-particle":"","family":"Lee","given":"Kuan Ken","non-dropping-particle":"","parse-names":false,"suffix":""},{"dropping-particle":"","family":"McAllister","given":"David A","non-dropping-particle":"","parse-names":false,"suffix":""},{"dropping-particle":"","family":"Churchhouse","given":"Antonia M D","non-dropping-particle":"","parse-names":false,"suffix":""},{"dropping-particle":"","family":"MacLeod","given":"Margaret","non-dropping-particle":"","parse-names":false,"suffix":""},{"dropping-particle":"","family":"Stoddart","given":"Mary","non-dropping-particle":"","parse-names":false,"suffix":""},{"dropping-particle":"","family":"Walker","given":"Simon","non-dropping-particle":"","parse-names":false,"suffix":""},{"dropping-particle":"","family":"Denvir","given":"Martin A","non-dropping-particle":"","parse-names":false,"suffix":""},{"dropping-particle":"","family":"Fox","given":"Keith A A","non-dropping-particle":"","parse-names":false,"suffix":""},{"dropping-particle":"","family":"Newby","given":"David E","non-dropping-particle":"","parse-names":false,"suffix":""}],"container-title":"BMJ","id":"ITEM-2","issued":{"date-parts":[["2012","3","15"]]},"page":"e1533","title":"Implications of lowering threshold of plasma troponin concentration in diagnosis of myocardial infarction: cohort study.","type":"article-journal","volume":"344"},"uris":["http://www.mendeley.com/documents/?uuid=8add11b9-ee3c-36cd-89fa-1f411d56486a"]}],"mendeley":{"formattedCitation":"[8,9]","plainTextFormattedCitation":"[8,9]","previouslyFormattedCitation":"[3,4]"},"properties":{"noteIndex":0},"schema":"https://github.com/citation-style-language/schema/raw/master/csl-citation.json"}</w:instrText>
      </w:r>
      <w:r w:rsidR="00B450F0" w:rsidRPr="00630A82">
        <w:rPr>
          <w:rFonts w:eastAsia="Times New Roman"/>
        </w:rPr>
        <w:fldChar w:fldCharType="separate"/>
      </w:r>
      <w:r w:rsidR="00C432E6" w:rsidRPr="00C432E6">
        <w:rPr>
          <w:rFonts w:eastAsia="Times New Roman"/>
          <w:noProof/>
        </w:rPr>
        <w:t>[8,9]</w:t>
      </w:r>
      <w:r w:rsidR="00B450F0" w:rsidRPr="00630A82">
        <w:rPr>
          <w:rFonts w:eastAsia="Times New Roman"/>
        </w:rPr>
        <w:fldChar w:fldCharType="end"/>
      </w:r>
      <w:r w:rsidRPr="00630A82">
        <w:rPr>
          <w:rFonts w:eastAsia="Times New Roman"/>
        </w:rPr>
        <w:t>.</w:t>
      </w:r>
      <w:r w:rsidR="001A225E" w:rsidRPr="00630A82">
        <w:rPr>
          <w:rFonts w:eastAsia="Times New Roman"/>
          <w:vertAlign w:val="superscript"/>
        </w:rPr>
        <w:t xml:space="preserve"> </w:t>
      </w:r>
      <w:r w:rsidRPr="00630A82">
        <w:rPr>
          <w:rFonts w:eastAsia="Times New Roman"/>
        </w:rPr>
        <w:t>According to the manufacturer, the limit of detection is 10 ng/L and the upper reference limit (URL; 99</w:t>
      </w:r>
      <w:r w:rsidRPr="00630A82">
        <w:rPr>
          <w:rFonts w:eastAsia="Times New Roman"/>
          <w:vertAlign w:val="superscript"/>
        </w:rPr>
        <w:t>th</w:t>
      </w:r>
      <w:r w:rsidRPr="00630A82">
        <w:rPr>
          <w:rFonts w:eastAsia="Times New Roman"/>
        </w:rPr>
        <w:t xml:space="preserve"> </w:t>
      </w:r>
      <w:r w:rsidR="00544183">
        <w:rPr>
          <w:rFonts w:eastAsia="Times New Roman"/>
        </w:rPr>
        <w:t>per</w:t>
      </w:r>
      <w:r w:rsidRPr="00630A82">
        <w:rPr>
          <w:rFonts w:eastAsia="Times New Roman"/>
        </w:rPr>
        <w:t xml:space="preserve">centile) of a normal reference population is 28 ng/L. The inter-assay coefficient of variation (CV) was &lt;10 % at 50 ng/L under local laboratory conditions and this concentration is used as the diagnostic threshold. </w:t>
      </w:r>
    </w:p>
    <w:p w14:paraId="0AB90EF0" w14:textId="6A0D5AB6" w:rsidR="001A4A6F" w:rsidRPr="00630A82" w:rsidRDefault="00391371" w:rsidP="00143100">
      <w:pPr>
        <w:ind w:firstLine="720"/>
      </w:pPr>
      <w:r w:rsidRPr="00630A82">
        <w:t xml:space="preserve">In </w:t>
      </w:r>
      <w:r w:rsidR="00106FBA">
        <w:t>APACE and High-STEACS</w:t>
      </w:r>
      <w:r w:rsidRPr="00630A82">
        <w:t>, a high-sensitivity assay (ARCHITECT</w:t>
      </w:r>
      <w:r w:rsidRPr="00630A82">
        <w:rPr>
          <w:i/>
          <w:iCs/>
          <w:vertAlign w:val="subscript"/>
        </w:rPr>
        <w:t>STAT</w:t>
      </w:r>
      <w:r w:rsidRPr="00630A82">
        <w:t xml:space="preserve"> high-sensitive troponin I assay, Abbott Laboratories, Abbott Park, IL) was used to measure cardiac troponin I concentrations on plasma excess to clinical requirements</w:t>
      </w:r>
      <w:r w:rsidR="00BA5A98" w:rsidRPr="00630A82">
        <w:t>.</w:t>
      </w:r>
      <w:r w:rsidRPr="00630A82">
        <w:t xml:space="preserve"> </w:t>
      </w:r>
      <w:r w:rsidR="00BA5A98" w:rsidRPr="00630A82">
        <w:t>T</w:t>
      </w:r>
      <w:r w:rsidRPr="00630A82">
        <w:t xml:space="preserve">he results were not reported to clinicians responsible for the </w:t>
      </w:r>
      <w:r w:rsidR="001A225E" w:rsidRPr="00630A82">
        <w:t>patients</w:t>
      </w:r>
      <w:r w:rsidRPr="00630A82">
        <w:t xml:space="preserve"> care. This assay has a limit of detection of </w:t>
      </w:r>
      <w:r w:rsidR="00813E9D">
        <w:t>1.</w:t>
      </w:r>
      <w:r w:rsidRPr="00630A82">
        <w:t>2 ng/L, an upper reference limit (URL; 99</w:t>
      </w:r>
      <w:r w:rsidRPr="00630A82">
        <w:rPr>
          <w:vertAlign w:val="superscript"/>
        </w:rPr>
        <w:t>th</w:t>
      </w:r>
      <w:r w:rsidRPr="00630A82">
        <w:t xml:space="preserve"> </w:t>
      </w:r>
      <w:r w:rsidR="00544183">
        <w:t>per</w:t>
      </w:r>
      <w:r w:rsidRPr="00630A82">
        <w:t>centile) of 34 ng/L in men and 16 ng/L in women</w:t>
      </w:r>
      <w:r w:rsidR="00B450F0" w:rsidRPr="00630A82">
        <w:fldChar w:fldCharType="begin" w:fldLock="1"/>
      </w:r>
      <w:r w:rsidR="00C432E6">
        <w:instrText>ADDIN CSL_CITATION {"citationItems":[{"id":"ITEM-1","itemData":{"ISSN":"1756-1833","PMID":"23878152","author":[{"dropping-particle":"V","family":"Shah","given":"Anoop S","non-dropping-particle":"","parse-names":false,"suffix":""},{"dropping-particle":"","family":"Newby","given":"David E","non-dropping-particle":"","parse-names":false,"suffix":""},{"dropping-particle":"","family":"Mills","given":"Nicholas L","non-dropping-particle":"","parse-names":false,"suffix":""}],"id":"ITEM-1","issued":{"date-parts":[["2013","7","22"]]},"page":"f4222","title":"High sensitivity cardiac troponin in patients with chest pain.","type":"article-journal","volume":"347"},"uris":["http://www.mendeley.com/documents/?uuid=019ec85d-538f-46dc-84d4-4a5e142c4307"]},{"id":"ITEM-2","itemData":{"DOI":"10.1136/bmj.g7873","ISBN":"0959-535x","ISSN":"1756-1833","PMID":"25609052","abstract":"OBJECTIVE: To evaluate the diagnosis of myocardial infarction using a high sensitivity troponin I assay and sex specific diagnostic thresholds in men and women with suspected acute coronary syndrome.\\n\\nDESIGN: Prospective cohort study.\\n\\nSETTING: Regional cardiac centre, United Kingdom.\\n\\nPARTICIPANTS: Consecutive patients with suspected acute coronary syndrome (n=1126, 46% women). Two cardiologists independently adjudicated the diagnosis of myocardial infarction by using a high sensitivity troponin I assay with sex specific diagnostic thresholds (men 34 ng/L, women 16 ng/L) and compared with current practice where a contemporary assay (50 ng/L, single threshold) was used to guide care.\\n\\nMAIN OUTCOME MEASURE: Diagnosis of myocardial infarction.\\n\\nRESULTS: The high sensitivity troponin I assay noticeably increased the diagnosis of myocardial infarction in women (from 11% to 22%; P&lt;0.001) but had a minimal effect in men (from 19% to 21%, P=0.002). Women were less likely than men to be referred to a cardiologist or undergo coronary revascularisation (P&lt;0.05 for both). At 12 months, women with undisclosed increases in troponin concentration (17-49 ng/L) and those with myocardial infarction (≥50 ng/L) had the highest rate of death or reinfarction compared with women without (≤16 ng/L) myocardial infarction (25%, 24%, and 4%, respectively; P&lt;0.001).\\n\\nCONCLUSIONS: Although having little effect in men, a high sensitivity troponin assay with sex specific diagnostic thresholds may double the diagnosis of myocardial infarction in women and identify those at high risk of reinfarction and death. Whether use of sex specific diagnostic thresholds will improve outcomes and tackle inequalities in the treatment of women with suspected acute coronary syndrome requires urgent attention.","author":[{"dropping-particle":"V","family":"Shah","given":"Anoop S","non-dropping-particle":"","parse-names":false,"suffix":""},{"dropping-particle":"","family":"Griffiths","given":"Megan","non-dropping-particle":"","parse-names":false,"suffix":""},{"dropping-particle":"","family":"Lee","given":"Kuan Ken","non-dropping-particle":"","parse-names":false,"suffix":""},{"dropping-particle":"","family":"McAllister","given":"David a","non-dropping-particle":"","parse-names":false,"suffix":""},{"dropping-particle":"","family":"Hunter","given":"Amanda L","non-dropping-particle":"","parse-names":false,"suffix":""},{"dropping-particle":"V","family":"Ferry","given":"Amy","non-dropping-particle":"","parse-names":false,"suffix":""},{"dropping-particle":"","family":"Cruikshank","given":"Anne","non-dropping-particle":"","parse-names":false,"suffix":""},{"dropping-particle":"","family":"Reid","given":"Alan","non-dropping-particle":"","parse-names":false,"suffix":""},{"dropping-particle":"","family":"Stoddart","given":"Mary","non-dropping-particle":"","parse-names":false,"suffix":""},{"dropping-particle":"","family":"Strachan","given":"Fiona","non-dropping-particle":"","parse-names":false,"suffix":""},{"dropping-particle":"","family":"Walker","given":"Simon","non-dropping-particle":"","parse-names":false,"suffix":""},{"dropping-particle":"","family":"Collinson","given":"Paul O","non-dropping-particle":"","parse-names":false,"suffix":""},{"dropping-particle":"","family":"Apple","given":"Fred S","non-dropping-particle":"","parse-names":false,"suffix":""},{"dropping-particle":"","family":"Gray","given":"Alasdair J","non-dropping-particle":"","parse-names":false,"suffix":""},{"dropping-particle":"","family":"Fox","given":"Keith a a","non-dropping-particle":"","parse-names":false,"suffix":""},{"dropping-particle":"","family":"Newby","given":"David E","non-dropping-particle":"","parse-names":false,"suffix":""},{"dropping-particle":"","family":"Mills","given":"Nicholas L","non-dropping-particle":"","parse-names":false,"suffix":""}],"container-title":"BMJ (Clinical research ed.)","id":"ITEM-2","issued":{"date-parts":[["2015","1","21"]]},"page":"g7873","title":"High sensitivity cardiac troponin and the under-diagnosis of myocardial infarction in women: prospective cohort study.","type":"article-journal","volume":"350"},"uris":["http://www.mendeley.com/documents/?uuid=1ec84ac5-9db3-47a5-a589-8c3f484fd209"]}],"mendeley":{"formattedCitation":"[10,11]","plainTextFormattedCitation":"[10,11]","previouslyFormattedCitation":"[5,6]"},"properties":{"noteIndex":0},"schema":"https://github.com/citation-style-language/schema/raw/master/csl-citation.json"}</w:instrText>
      </w:r>
      <w:r w:rsidR="00B450F0" w:rsidRPr="00630A82">
        <w:fldChar w:fldCharType="separate"/>
      </w:r>
      <w:r w:rsidR="00C432E6" w:rsidRPr="00C432E6">
        <w:rPr>
          <w:noProof/>
        </w:rPr>
        <w:t>[10,11]</w:t>
      </w:r>
      <w:r w:rsidR="00B450F0" w:rsidRPr="00630A82">
        <w:fldChar w:fldCharType="end"/>
      </w:r>
      <w:r w:rsidR="00E826AF" w:rsidRPr="00630A82">
        <w:t>.</w:t>
      </w:r>
      <w:r w:rsidR="00BA5A98" w:rsidRPr="00630A82">
        <w:t xml:space="preserve"> </w:t>
      </w:r>
      <w:r w:rsidRPr="00630A82">
        <w:t>We previously assessed assay precision in our laboratory reporting a coefficient of variation (CV) of 23% at the limit of detection (</w:t>
      </w:r>
      <w:r w:rsidR="00813E9D">
        <w:t>1.</w:t>
      </w:r>
      <w:r w:rsidRPr="00630A82">
        <w:t>2 ng/L) and &lt;10% at 6 ng/L</w:t>
      </w:r>
      <w:r w:rsidR="00B450F0" w:rsidRPr="00630A82">
        <w:fldChar w:fldCharType="begin" w:fldLock="1"/>
      </w:r>
      <w:r w:rsidR="00C432E6">
        <w:instrText>ADDIN CSL_CITATION {"citationItems":[{"id":"ITEM-1","itemData":{"DOI":"10.1093/eurheartj/ehu189","ISSN":"1522-9645","PMID":"24829362","abstract":"AIMS High-sensitivity cardiac troponin I (cTnI) assays hold promise in detecting the transition from hypertrophy to heart failure in aortic stenosis. We sought to investigate the mechanism for troponin release in patients with aortic stenosis and whether plasma cTnI concentrations are associated with long-term outcome. METHODS AND RESULTS Plasma cTnI concentrations were measured in two patient cohorts using a high-sensitivity assay. First, in the Mechanism Cohort, 122 patients with aortic stenosis (median age 71, 67% male, aortic valve area 1.0 ± 0.4 cm(2)) underwent cardiovascular magnetic resonance and echocardiography to assess left ventricular (LV) myocardial mass, function, and fibrosis. The indexed LV mass and measures of replacement fibrosis (late gadolinium enhancement) were associated with cTnI concentrations independent of age, sex, coronary artery disease, aortic stenosis severity, and diastolic function. In the separate Outcome Cohort, 131 patients originally recruited into the Scottish Aortic Stenosis and Lipid Lowering Trial, Impact of REgression (SALTIRE) study, had long-term follow-up for the occurrence of aortic valve replacement (AVR) and cardiovascular deaths. Over a median follow-up of 10.6 years (1178 patient-years), 24 patients died from a cardiovascular cause and 60 patients had an AVR. Plasma cTnI concentrations were associated with AVR or cardiovascular death HR 1.77 (95% CI, 1.22 to 2.55) independent of age, sex, systolic ejection fraction, and aortic stenosis severity. CONCLUSIONS In patients with aortic stenosis, plasma cTnI concentration is associated with advanced hypertrophy and replacement myocardial fibrosis as well as AVR or cardiovascular death.","author":[{"dropping-particle":"","family":"Chin","given":"Calvin W L","non-dropping-particle":"","parse-names":false,"suffix":""},{"dropping-particle":"V","family":"Shah","given":"Anoop S","non-dropping-particle":"","parse-names":false,"suffix":""},{"dropping-particle":"","family":"McAllister","given":"David A","non-dropping-particle":"","parse-names":false,"suffix":""},{"dropping-particle":"","family":"Joanna Cowell","given":"S","non-dropping-particle":"","parse-names":false,"suffix":""},{"dropping-particle":"","family":"Alam","given":"Shirjel","non-dropping-particle":"","parse-names":false,"suffix":""},{"dropping-particle":"","family":"Langrish","given":"Jeremy P","non-dropping-particle":"","parse-names":false,"suffix":""},{"dropping-particle":"","family":"Strachan","given":"Fiona E","non-dropping-particle":"","parse-names":false,"suffix":""},{"dropping-particle":"","family":"Hunter","given":"Amanda L","non-dropping-particle":"","parse-names":false,"suffix":""},{"dropping-particle":"","family":"Maria Choy","given":"Anna","non-dropping-particle":"","parse-names":false,"suffix":""},{"dropping-particle":"","family":"Lang","given":"Chim C","non-dropping-particle":"","parse-names":false,"suffix":""},{"dropping-particle":"","family":"Walker","given":"Simon","non-dropping-particle":"","parse-names":false,"suffix":""},{"dropping-particle":"","family":"Boon","given":"Nicholas A","non-dropping-particle":"","parse-names":false,"suffix":""},{"dropping-particle":"","family":"Newby","given":"David E","non-dropping-particle":"","parse-names":false,"suffix":""},{"dropping-particle":"","family":"Mills","given":"Nicholas L","non-dropping-particle":"","parse-names":false,"suffix":""},{"dropping-particle":"","family":"Dweck","given":"Marc R","non-dropping-particle":"","parse-names":false,"suffix":""}],"container-title":"European heart journal","id":"ITEM-1","issue":"34","issued":{"date-parts":[["2014","9","7"]]},"page":"2312-21","title":"High-sensitivity troponin I concentrations are a marker of an advanced hypertrophic response and adverse outcomes in patients with aortic stenosis.","type":"article-journal","volume":"35"},"uris":["http://www.mendeley.com/documents/?uuid=e0511146-5fa8-3de9-a6b6-7eafe4f3a264"]},{"id":"ITEM-2","itemData":{"DOI":"10.1161/CIRCULATIONAHA.114.011085","ISSN":"1524-4539","PMID":"25170097","abstract":"BACKGROUND ECG left ventricular hypertrophy with strain is associated with an adverse prognosis in aortic stenosis. We investigated the mechanisms and outcomes associated with ECG strain. METHODS AND RESULTS One hundred and two patients (age, 70 years [range, 63-75 years]; male, 66%; aortic valve area, 0.9 cm(2) [range, 0.7-1.2 cm(2)]) underwent ECG, echocardiography, and cardiovascular magnetic resonance. They made up the mechanism cohort. Myocardial fibrosis was determined with late gadolinium enhancement (replacement fibrosis) and T1 mapping (diffuse fibrosis). The relationship between ECG strain and cardiovascular magnetic resonance was then assessed in an external validation cohort (n=64). The outcome cohort was made up of 140 patients from the Scottish Aortic Stenosis and Lipid Lowering Trial Impact on Regression (SALTIRE) study and was followed up for 10.6 years (1254 patient-years). Compared with those without left ventricular hypertrophy (n=51) and left ventricular hypertrophy without ECG strain (n=30), patients with ECG strain (n=21) had more severe aortic stenosis, increased left ventricular mass index, more myocardial injury (high-sensitivity plasma cardiac troponin I concentration, 4.3 ng/L [interquartile range, 2.5-7.3 ng/L] versus 7.3 ng/L [interquartile range, 3.2-20.8 ng/L] versus 18.6 ng/L [interquartile range, 9.0-45.2 ng/L], respectively; P&lt;0.001) and increased diffuse fibrosis (extracellular volume fraction, 27.4±2.2% versus 27.2±2.9% versus 30.9±1.9%, respectively; P&lt;0.001). All patients with ECG strain had midwall late gadolinium enhancement (positive and negative predictive values of 100% and 86%, respectively). Indeed, late gadolinium enhancement was independently associated with ECG strain (odds ratio, 1.73; 95% confidence interval, 1.08-2.77; P=0.02), a finding confirmed in the validation cohort. In the outcome cohort, ECG strain was an independent predictor of aortic valve replacement or cardiovascular death (hazard ratio, 2.67; 95% confidence interval, 1.35-5.27; P&lt;0.01). CONCLUSION ECG strain is a specific marker of midwall myocardial fibrosis and predicts adverse clinical outcomes in aortic stenosis.","author":[{"dropping-particle":"V","family":"Shah","given":"Anoop S","non-dropping-particle":"","parse-names":false,"suffix":""},{"dropping-particle":"","family":"Chin","given":"Calvin W L","non-dropping-particle":"","parse-names":false,"suffix":""},{"dropping-particle":"","family":"Vassiliou","given":"Vassilis","non-dropping-particle":"","parse-names":false,"suffix":""},{"dropping-particle":"","family":"Cowell","given":"S Joanna","non-dropping-particle":"","parse-names":false,"suffix":""},{"dropping-particle":"","family":"Doris","given":"Mhairi","non-dropping-particle":"","parse-names":false,"suffix":""},{"dropping-particle":"","family":"Kwok","given":"T'ng Choong","non-dropping-particle":"","parse-names":false,"suffix":""},{"dropping-particle":"","family":"Semple","given":"Scott","non-dropping-particle":"","parse-names":false,"suffix":""},{"dropping-particle":"","family":"Zamvar","given":"Vipin","non-dropping-particle":"","parse-names":false,"suffix":""},{"dropping-particle":"","family":"White","given":"Audrey C","non-dropping-particle":"","parse-names":false,"suffix":""},{"dropping-particle":"","family":"McKillop","given":"Graham","non-dropping-particle":"","parse-names":false,"suffix":""},{"dropping-particle":"","family":"Boon","given":"Nicholas A","non-dropping-particle":"","parse-names":false,"suffix":""},{"dropping-particle":"","family":"Prasad","given":"Sanjay K","non-dropping-particle":"","parse-names":false,"suffix":""},{"dropping-particle":"","family":"Mills","given":"Nicholas L","non-dropping-particle":"","parse-names":false,"suffix":""},{"dropping-particle":"","family":"Newby","given":"David E","non-dropping-particle":"","parse-names":false,"suffix":""},{"dropping-particle":"","family":"Dweck","given":"Marc R","non-dropping-particle":"","parse-names":false,"suffix":""}],"container-title":"Circulation","id":"ITEM-2","issue":"18","issued":{"date-parts":[["2014","10","28"]]},"page":"1607-16","title":"Left ventricular hypertrophy with strain and aortic stenosis.","type":"article-journal","volume":"130"},"uris":["http://www.mendeley.com/documents/?uuid=23d2f1cc-e778-3cf6-8406-fc9b6ed56d9d"]}],"mendeley":{"formattedCitation":"[12,13]","plainTextFormattedCitation":"[12,13]","previouslyFormattedCitation":"[7,8]"},"properties":{"noteIndex":0},"schema":"https://github.com/citation-style-language/schema/raw/master/csl-citation.json"}</w:instrText>
      </w:r>
      <w:r w:rsidR="00B450F0" w:rsidRPr="00630A82">
        <w:fldChar w:fldCharType="separate"/>
      </w:r>
      <w:r w:rsidR="00C432E6" w:rsidRPr="00C432E6">
        <w:rPr>
          <w:noProof/>
        </w:rPr>
        <w:t>[12,13]</w:t>
      </w:r>
      <w:r w:rsidR="00B450F0" w:rsidRPr="00630A82">
        <w:fldChar w:fldCharType="end"/>
      </w:r>
      <w:r w:rsidR="00E826AF" w:rsidRPr="00630A82">
        <w:t>.</w:t>
      </w:r>
      <w:r w:rsidR="00BA5A98" w:rsidRPr="00630A82">
        <w:t xml:space="preserve"> </w:t>
      </w:r>
    </w:p>
    <w:p w14:paraId="0980C303" w14:textId="7EF12AAC" w:rsidR="00F64F78" w:rsidRDefault="00F64F78" w:rsidP="00F64F78">
      <w:pPr>
        <w:pStyle w:val="berschrift2"/>
      </w:pPr>
      <w:r>
        <w:lastRenderedPageBreak/>
        <w:t>Final adjudication</w:t>
      </w:r>
    </w:p>
    <w:p w14:paraId="126D1CD3" w14:textId="0E4537ED" w:rsidR="005D3189" w:rsidRPr="005D3189" w:rsidRDefault="005D3189" w:rsidP="00143100">
      <w:pPr>
        <w:pStyle w:val="berschrift3"/>
        <w:rPr>
          <w:lang w:val="en-US"/>
        </w:rPr>
      </w:pPr>
      <w:r w:rsidRPr="005D3189">
        <w:rPr>
          <w:lang w:val="en-US"/>
        </w:rPr>
        <w:t>APACE (continued)</w:t>
      </w:r>
    </w:p>
    <w:p w14:paraId="2D2B72E1" w14:textId="7E8F9989" w:rsidR="005D3189" w:rsidRPr="005D3189" w:rsidRDefault="005D3189" w:rsidP="005D3189">
      <w:pPr>
        <w:pStyle w:val="berschrift3"/>
        <w:spacing w:line="480" w:lineRule="auto"/>
        <w:rPr>
          <w:rFonts w:ascii="Times New Roman" w:hAnsi="Times New Roman" w:cs="Times New Roman"/>
          <w:b w:val="0"/>
          <w:color w:val="000000" w:themeColor="text1"/>
        </w:rPr>
      </w:pPr>
      <w:r w:rsidRPr="005D3189">
        <w:rPr>
          <w:rFonts w:ascii="Times New Roman" w:hAnsi="Times New Roman" w:cs="Times New Roman"/>
          <w:b w:val="0"/>
          <w:i w:val="0"/>
          <w:color w:val="000000" w:themeColor="text1"/>
          <w:lang w:val="en-US"/>
        </w:rPr>
        <w:t xml:space="preserve">For the final adjudication done by two independents cardiologists regarding the final diagnosis of NSTEMI versus </w:t>
      </w:r>
      <w:r w:rsidR="001E7C94">
        <w:rPr>
          <w:rFonts w:ascii="Times New Roman" w:hAnsi="Times New Roman" w:cs="Times New Roman"/>
          <w:b w:val="0"/>
          <w:i w:val="0"/>
          <w:color w:val="000000" w:themeColor="text1"/>
          <w:lang w:val="en-US"/>
        </w:rPr>
        <w:t>UA</w:t>
      </w:r>
      <w:r w:rsidRPr="005D3189">
        <w:rPr>
          <w:rFonts w:ascii="Times New Roman" w:hAnsi="Times New Roman" w:cs="Times New Roman"/>
          <w:b w:val="0"/>
          <w:i w:val="0"/>
          <w:color w:val="000000" w:themeColor="text1"/>
          <w:lang w:val="en-US"/>
        </w:rPr>
        <w:t xml:space="preserve">, </w:t>
      </w:r>
      <w:proofErr w:type="spellStart"/>
      <w:r w:rsidRPr="005D3189">
        <w:rPr>
          <w:rFonts w:ascii="Times New Roman" w:hAnsi="Times New Roman" w:cs="Times New Roman"/>
          <w:b w:val="0"/>
          <w:i w:val="0"/>
          <w:color w:val="000000" w:themeColor="text1"/>
          <w:lang w:val="en-US"/>
        </w:rPr>
        <w:t>hs-cTn</w:t>
      </w:r>
      <w:proofErr w:type="spellEnd"/>
      <w:r w:rsidRPr="005D3189">
        <w:rPr>
          <w:rFonts w:ascii="Times New Roman" w:hAnsi="Times New Roman" w:cs="Times New Roman"/>
          <w:b w:val="0"/>
          <w:i w:val="0"/>
          <w:color w:val="000000" w:themeColor="text1"/>
          <w:lang w:val="en-US"/>
        </w:rPr>
        <w:t xml:space="preserve"> concentrations obtained for clinical purposes prior to the index presentation and as well as following the index presentation were available in many patients. E.g. in a </w:t>
      </w:r>
      <w:proofErr w:type="gramStart"/>
      <w:r w:rsidRPr="005D3189">
        <w:rPr>
          <w:rFonts w:ascii="Times New Roman" w:hAnsi="Times New Roman" w:cs="Times New Roman"/>
          <w:b w:val="0"/>
          <w:i w:val="0"/>
          <w:color w:val="000000" w:themeColor="text1"/>
          <w:lang w:val="en-US"/>
        </w:rPr>
        <w:t>patients</w:t>
      </w:r>
      <w:proofErr w:type="gramEnd"/>
      <w:r w:rsidRPr="005D3189">
        <w:rPr>
          <w:rFonts w:ascii="Times New Roman" w:hAnsi="Times New Roman" w:cs="Times New Roman"/>
          <w:b w:val="0"/>
          <w:i w:val="0"/>
          <w:color w:val="000000" w:themeColor="text1"/>
          <w:lang w:val="en-US"/>
        </w:rPr>
        <w:t xml:space="preserve"> with a </w:t>
      </w:r>
      <w:proofErr w:type="spellStart"/>
      <w:r w:rsidRPr="005D3189">
        <w:rPr>
          <w:rFonts w:ascii="Times New Roman" w:hAnsi="Times New Roman" w:cs="Times New Roman"/>
          <w:b w:val="0"/>
          <w:i w:val="0"/>
          <w:color w:val="000000" w:themeColor="text1"/>
          <w:lang w:val="en-US"/>
        </w:rPr>
        <w:t>hs-cTnT</w:t>
      </w:r>
      <w:proofErr w:type="spellEnd"/>
      <w:r w:rsidRPr="005D3189">
        <w:rPr>
          <w:rFonts w:ascii="Times New Roman" w:hAnsi="Times New Roman" w:cs="Times New Roman"/>
          <w:b w:val="0"/>
          <w:i w:val="0"/>
          <w:color w:val="000000" w:themeColor="text1"/>
          <w:lang w:val="en-US"/>
        </w:rPr>
        <w:t xml:space="preserve"> concentrations of 0h: 22ng, 1h: 23ng/l, 2h; 22ng/L), the availability of a </w:t>
      </w:r>
      <w:proofErr w:type="spellStart"/>
      <w:r w:rsidRPr="005D3189">
        <w:rPr>
          <w:rFonts w:ascii="Times New Roman" w:hAnsi="Times New Roman" w:cs="Times New Roman"/>
          <w:b w:val="0"/>
          <w:i w:val="0"/>
          <w:color w:val="000000" w:themeColor="text1"/>
          <w:lang w:val="en-US"/>
        </w:rPr>
        <w:t>hs-cTnT</w:t>
      </w:r>
      <w:proofErr w:type="spellEnd"/>
      <w:r w:rsidRPr="005D3189">
        <w:rPr>
          <w:rFonts w:ascii="Times New Roman" w:hAnsi="Times New Roman" w:cs="Times New Roman"/>
          <w:b w:val="0"/>
          <w:i w:val="0"/>
          <w:color w:val="000000" w:themeColor="text1"/>
          <w:lang w:val="en-US"/>
        </w:rPr>
        <w:t xml:space="preserve"> concentration of 14ng/L several weeks prior or after the index event would argue in favor of NSTEMI in patients with ischemic symptoms, as acute cardiomyocyte injury related to the ischemic event can be documented. In contrast, if in the same patient a </w:t>
      </w:r>
      <w:proofErr w:type="spellStart"/>
      <w:r w:rsidRPr="005D3189">
        <w:rPr>
          <w:rFonts w:ascii="Times New Roman" w:hAnsi="Times New Roman" w:cs="Times New Roman"/>
          <w:b w:val="0"/>
          <w:i w:val="0"/>
          <w:color w:val="000000" w:themeColor="text1"/>
          <w:lang w:val="en-US"/>
        </w:rPr>
        <w:t>hs-cTnT</w:t>
      </w:r>
      <w:proofErr w:type="spellEnd"/>
      <w:r w:rsidRPr="005D3189">
        <w:rPr>
          <w:rFonts w:ascii="Times New Roman" w:hAnsi="Times New Roman" w:cs="Times New Roman"/>
          <w:b w:val="0"/>
          <w:i w:val="0"/>
          <w:color w:val="000000" w:themeColor="text1"/>
          <w:lang w:val="en-US"/>
        </w:rPr>
        <w:t xml:space="preserve"> concentration of 22ng/L several weeks prior or after the index event is documented, it </w:t>
      </w:r>
      <w:r>
        <w:rPr>
          <w:rFonts w:ascii="Times New Roman" w:hAnsi="Times New Roman" w:cs="Times New Roman"/>
          <w:b w:val="0"/>
          <w:i w:val="0"/>
          <w:color w:val="000000" w:themeColor="text1"/>
          <w:lang w:val="en-US"/>
        </w:rPr>
        <w:t xml:space="preserve">would </w:t>
      </w:r>
      <w:r w:rsidRPr="005D3189">
        <w:rPr>
          <w:rFonts w:ascii="Times New Roman" w:hAnsi="Times New Roman" w:cs="Times New Roman"/>
          <w:b w:val="0"/>
          <w:i w:val="0"/>
          <w:color w:val="000000" w:themeColor="text1"/>
          <w:lang w:val="en-US"/>
        </w:rPr>
        <w:t xml:space="preserve">argue in favor of </w:t>
      </w:r>
      <w:r w:rsidR="001E7C94">
        <w:rPr>
          <w:rFonts w:ascii="Times New Roman" w:hAnsi="Times New Roman" w:cs="Times New Roman"/>
          <w:b w:val="0"/>
          <w:i w:val="0"/>
          <w:color w:val="000000" w:themeColor="text1"/>
          <w:lang w:val="en-US"/>
        </w:rPr>
        <w:t>UA</w:t>
      </w:r>
      <w:r w:rsidRPr="005D3189">
        <w:rPr>
          <w:rFonts w:ascii="Times New Roman" w:hAnsi="Times New Roman" w:cs="Times New Roman"/>
          <w:b w:val="0"/>
          <w:i w:val="0"/>
          <w:color w:val="000000" w:themeColor="text1"/>
          <w:lang w:val="en-US"/>
        </w:rPr>
        <w:t>, as NO cardiomyocyte injury related to the current ischemic episode can be documented.</w:t>
      </w:r>
    </w:p>
    <w:p w14:paraId="732AA365" w14:textId="77777777" w:rsidR="00143100" w:rsidRPr="00432D1C" w:rsidRDefault="00143100" w:rsidP="00143100">
      <w:pPr>
        <w:pStyle w:val="berschrift3"/>
      </w:pPr>
      <w:r w:rsidRPr="00432D1C">
        <w:t>High-STEACS</w:t>
      </w:r>
    </w:p>
    <w:p w14:paraId="45CB5B2B" w14:textId="726ACBAC" w:rsidR="00143100" w:rsidRDefault="00143100" w:rsidP="00143100">
      <w:r w:rsidRPr="00432D1C">
        <w:t xml:space="preserve">Adjudication of final diagnoses was performed centrally for all patients in accordance with the criteria detailed in the third universal definition of </w:t>
      </w:r>
      <w:r w:rsidR="00474B8A">
        <w:t>MI</w:t>
      </w:r>
      <w:r w:rsidRPr="00630A82">
        <w:fldChar w:fldCharType="begin" w:fldLock="1"/>
      </w:r>
      <w:r w:rsidR="00C432E6">
        <w:instrText>ADDIN CSL_CITATION {"citationItems":[{"id":"ITEM-1","itemData":{"DOI":"10.1093/eurheartj/ehs184","ISBN":"1522-9645 (Electronic) 0195-668X (Linking)","ISSN":"1558-3597","PMID":"22958960","abstract":"Cardiac troponin testing is commonly performed in patients with heart failure (HF). Despite being strongly linked to spontaneous (Type I) acute myocardial infarction (MI)-a common cause of acute HF syndromes-it is well recognized that concentrations of circulating troponins above the 99th percentile of a normal population in the context of both acute and chronic HF are highly prevalent, and frequently unrelated to Type I MI. Other mechanism(s) leading to troponin elevation in HF syndromes remain elusive in many cases but prominently includes supply-demand inequity (Type II MI), which may be associated with coronary artery obstruction and endothelial dysfunction, or may occur in the absence of coronary obstruction due to increased oxygen demand related to increased wall tension, anaemia, or other factors provoking subendocardial injury. Non-coronary triggers, such as cellular necrosis, apoptosis, or autophagy in the context of wall stress may explain the troponin release in HF, as can toxic effects of circulating neurohormones, toxins, inflammation, and infiltrative processes, among others. Nonetheless, across a wide spectrum of HF syndromes, when troponin elevation occurs, independent of mechanism, it is strongly predictive of an adverse outcome. Clinicians should be aware of the high frequency of troponin elevation when measuring the marker in patients with HF, should keep in mind the possible causes of this phenomenon, and, independent of a diagnosis of 'acute MI', should recognize the considerable ramifications of troponin elevation in this setting.","author":[{"dropping-particle":"","family":"Thygesen","given":"Kristian","non-dropping-particle":"","parse-names":false,"suffix":""},{"dropping-particle":"","family":"Alpert","given":"Joseph S","non-dropping-particle":"","parse-names":false,"suffix":""},{"dropping-particle":"","family":"Jaffe","given":"Allan S","non-dropping-particle":"","parse-names":false,"suffix":""},{"dropping-particle":"","family":"Simoons","given":"Maarten L","non-dropping-particle":"","parse-names":false,"suffix":""},{"dropping-particle":"","family":"Chaitman","given":"Bernard R","non-dropping-particle":"","parse-names":false,"suffix":""},{"dropping-particle":"","family":"White","given":"Harvey D","non-dropping-particle":"","parse-names":false,"suffix":""},{"dropping-particle":"","family":"Katus","given":"Hugo A","non-dropping-particle":"","parse-names":false,"suffix":""},{"dropping-particle":"","family":"Apple","given":"Fred S","non-dropping-particle":"","parse-names":false,"suffix":""},{"dropping-particle":"","family":"Lindahl","given":"Bertil","non-dropping-particle":"","parse-names":false,"suffix":""},{"dropping-particle":"","family":"Morrow","given":"David A","non-dropping-particle":"","parse-names":false,"suffix":""},{"dropping-particle":"","family":"Chaitman","given":"Bernard A","non-dropping-particle":"","parse-names":false,"suffix":""},{"dropping-particle":"","family":"Clemmensen","given":"Peter M","non-dropping-particle":"","parse-names":false,"suffix":""},{"dropping-particle":"","family":"Johanson","given":"Per","non-dropping-particle":"","parse-names":false,"suffix":""},{"dropping-particle":"","family":"Hod","given":"Hanoch","non-dropping-particle":"","parse-names":false,"suffix":""},{"dropping-particle":"","family":"Underwood","given":"Richard","non-dropping-particle":"","parse-names":false,"suffix":""},{"dropping-particle":"","family":"Bax","given":"Jeroen J","non-dropping-particle":"","parse-names":false,"suffix":""},{"dropping-particle":"","family":"Bonow","given":"Robert O","non-dropping-particle":"","parse-names":false,"suffix":""},{"dropping-particle":"","family":"Pinto","given":"Fausto","non-dropping-particle":"","parse-names":false,"suffix":""},{"dropping-particle":"","family":"Gibbons","given":"Raymond J","non-dropping-particle":"","parse-names":false,"suffix":""},{"dropping-particle":"","family":"Fox","given":"Keith A","non-dropping-particle":"","parse-names":false,"suffix":""},{"dropping-particle":"","family":"Atar","given":"Dan","non-dropping-particle":"","parse-names":false,"suffix":""},{"dropping-particle":"","family":"Newby","given":"L Kristin","non-dropping-particle":"","parse-names":false,"suffix":""},{"dropping-particle":"","family":"Galvani","given":"Marcello","non-dropping-particle":"","parse-names":false,"suffix":""},{"dropping-particle":"","family":"Hamm","given":"Christian W","non-dropping-particle":"","parse-names":false,"suffix":""},{"dropping-particle":"","family":"Uretsky","given":"Barry F","non-dropping-particle":"","parse-names":false,"suffix":""},{"dropping-particle":"","family":"Steg","given":"Ph Gabriel","non-dropping-particle":"","parse-names":false,"suffix":""},{"dropping-particle":"","family":"Wijns","given":"William","non-dropping-particle":"","parse-names":false,"suffix":""},{"dropping-particle":"","family":"Bassand","given":"Jean-Pierre","non-dropping-particle":"","parse-names":false,"suffix":""},{"dropping-particle":"","family":"Menasché","given":"Phillippe","non-dropping-particle":"","parse-names":false,"suffix":""},{"dropping-particle":"","family":"Ravkilde","given":"Jan","non-dropping-particle":"","parse-names":false,"suffix":""},{"dropping-particle":"","family":"Ohman","given":"E Magnus","non-dropping-particle":"","parse-names":false,"suffix":""},{"dropping-particle":"","family":"Antman","given":"Elliott M","non-dropping-particle":"","parse-names":false,"suffix":""},{"dropping-particle":"","family":"Wallentin","given":"Lars C","non-dropping-particle":"","parse-names":false,"suffix":""},{"dropping-particle":"","family":"Armstrong","given":"Paul W","non-dropping-particle":"","parse-names":false,"suffix":""},{"dropping-particle":"","family":"Januzzi","given":"James L","non-dropping-particle":"","parse-names":false,"suffix":""},{"dropping-particle":"","family":"Nieminen","given":"Markku S","non-dropping-particle":"","parse-names":false,"suffix":""},{"dropping-particle":"","family":"Gheorghiade","given":"Mihai","non-dropping-particle":"","parse-names":false,"suffix":""},{"dropping-particle":"","family":"Filippatos","given":"Gerasimos","non-dropping-particle":"","parse-names":false,"suffix":""},{"dropping-particle":"V","family":"Luepker","given":"Russell","non-dropping-particle":"","parse-names":false,"suffix":""},{"dropping-particle":"","family":"Fortmann","given":"Stephen P","non-dropping-particle":"","parse-names":false,"suffix":""},{"dropping-particle":"","family":"Rosamond","given":"Wayne D","non-dropping-particle":"","parse-names":false,"suffix":""},{"dropping-particle":"","family":"Levy","given":"Dan","non-dropping-particle":"","parse-names":false,"suffix":""},{"dropping-particle":"","family":"Wood","given":"David","non-dropping-particle":"","parse-names":false,"suffix":""},{"dropping-particle":"","family":"Smith","given":"Sidney C","non-dropping-particle":"","parse-names":false,"suffix":""},{"dropping-particle":"","family":"Hu","given":"Dayi","non-dropping-particle":"","parse-names":false,"suffix":""},{"dropping-particle":"","family":"Lopez-Sendon","given":"José-Luis","non-dropping-particle":"","parse-names":false,"suffix":""},{"dropping-particle":"","family":"Robertson","given":"Rose Marie","non-dropping-particle":"","parse-names":false,"suffix":""},{"dropping-particle":"","family":"Weaver","given":"Douglas","non-dropping-particle":"","parse-names":false,"suffix":""},{"dropping-particle":"","family":"Tendera","given":"Michael","non-dropping-particle":"","parse-names":false,"suffix":""},{"dropping-particle":"","family":"Bove","given":"Alfred A","non-dropping-particle":"","parse-names":false,"suffix":""},{"dropping-particle":"","family":"Parkhomenko","given":"Alexander N","non-dropping-particle":"","parse-names":false,"suffix":""},{"dropping-particle":"","family":"Vasilieva","given":"Elena J","non-dropping-particle":"","parse-names":false,"suffix":""},{"dropping-particle":"","family":"Mendis","given":"Shanti","non-dropping-particle":"","parse-names":false,"suffix":""}],"container-title":"European heart journal","id":"ITEM-1","issue":"20","issued":{"date-parts":[["2012","10","16"]]},"page":"2551-67","title":"Third universal definition of myocardial infarction.","type":"article-journal","volume":"33"},"uris":["http://www.mendeley.com/documents/?uuid=6c97cd6f-48ea-44a0-9d0d-cd41bfd2f97e"]}],"mendeley":{"formattedCitation":"[14]","plainTextFormattedCitation":"[14]","previouslyFormattedCitation":"[9]"},"properties":{"noteIndex":0},"schema":"https://github.com/citation-style-language/schema/raw/master/csl-citation.json"}</w:instrText>
      </w:r>
      <w:r w:rsidRPr="00630A82">
        <w:fldChar w:fldCharType="separate"/>
      </w:r>
      <w:r w:rsidR="00C432E6" w:rsidRPr="00C432E6">
        <w:rPr>
          <w:noProof/>
        </w:rPr>
        <w:t>[14]</w:t>
      </w:r>
      <w:r w:rsidRPr="00630A82">
        <w:fldChar w:fldCharType="end"/>
      </w:r>
      <w:r w:rsidRPr="00432D1C">
        <w:t>. Myocardial necrosis was identified if cardiac troponin concentrations were &gt;99</w:t>
      </w:r>
      <w:r w:rsidRPr="00432D1C">
        <w:rPr>
          <w:vertAlign w:val="superscript"/>
        </w:rPr>
        <w:t>th</w:t>
      </w:r>
      <w:r w:rsidRPr="00432D1C">
        <w:t xml:space="preserve"> </w:t>
      </w:r>
      <w:r w:rsidR="00A36A3B">
        <w:t>per</w:t>
      </w:r>
      <w:r w:rsidRPr="00432D1C">
        <w:t xml:space="preserve">centile URL of the high-sensitivity assay on at least one measurement. Non-ST-segment elevation myocardial infarction (NSTEMI) was defined as myocardial necrosis in the context of an isolated presentation with suspected acute coronary syndrome with chest pain or evidence of myocardial ischaemia on the electrocardiogram. A diagnosis of ST-segment elevation myocardial infarction (STEMI) was made where, in addition to these criteria, there was ST-segment elevation or new left bundle branch block on the resting electrocardiogram. </w:t>
      </w:r>
      <w:r w:rsidRPr="00432D1C">
        <w:rPr>
          <w:rFonts w:cs="Arial"/>
        </w:rPr>
        <w:t>Unstable angina was diagnosed in patients with ischemic symptoms at rest or minor exercise with normal (</w:t>
      </w:r>
      <w:proofErr w:type="spellStart"/>
      <w:r w:rsidRPr="00432D1C">
        <w:rPr>
          <w:rFonts w:cs="Arial"/>
        </w:rPr>
        <w:t>hs</w:t>
      </w:r>
      <w:proofErr w:type="spellEnd"/>
      <w:r w:rsidRPr="00432D1C">
        <w:rPr>
          <w:rFonts w:cs="Arial"/>
        </w:rPr>
        <w:t>)-</w:t>
      </w:r>
      <w:proofErr w:type="spellStart"/>
      <w:r w:rsidRPr="00432D1C">
        <w:rPr>
          <w:rFonts w:cs="Arial"/>
        </w:rPr>
        <w:t>cTn</w:t>
      </w:r>
      <w:proofErr w:type="spellEnd"/>
      <w:r w:rsidRPr="00432D1C">
        <w:rPr>
          <w:rFonts w:cs="Arial"/>
        </w:rPr>
        <w:t xml:space="preserve"> levels</w:t>
      </w:r>
      <w:r w:rsidR="00D67AC3">
        <w:rPr>
          <w:rFonts w:cs="Arial"/>
        </w:rPr>
        <w:t>. In addition</w:t>
      </w:r>
      <w:r w:rsidR="00A36A3B">
        <w:rPr>
          <w:rFonts w:cs="Arial"/>
        </w:rPr>
        <w:t>,</w:t>
      </w:r>
      <w:r w:rsidR="00D67AC3">
        <w:rPr>
          <w:rFonts w:cs="Arial"/>
        </w:rPr>
        <w:t xml:space="preserve"> </w:t>
      </w:r>
      <w:r w:rsidR="00A36A3B">
        <w:rPr>
          <w:rFonts w:cs="Arial"/>
        </w:rPr>
        <w:t xml:space="preserve">a diagnosis of </w:t>
      </w:r>
      <w:r w:rsidR="001E7C94">
        <w:rPr>
          <w:rFonts w:cs="Arial"/>
        </w:rPr>
        <w:t>UA</w:t>
      </w:r>
      <w:r w:rsidR="00D67AC3">
        <w:rPr>
          <w:rFonts w:cs="Arial"/>
        </w:rPr>
        <w:t xml:space="preserve"> required at least one of the following:</w:t>
      </w:r>
      <w:r w:rsidRPr="00432D1C">
        <w:rPr>
          <w:rFonts w:cs="Arial"/>
        </w:rPr>
        <w:t xml:space="preserve"> evidence of myocardial ischaemia on resting electrocardiogram or stress testing, obstructive coronary artery disease </w:t>
      </w:r>
      <w:r w:rsidRPr="00432D1C">
        <w:rPr>
          <w:rFonts w:cs="Arial"/>
        </w:rPr>
        <w:lastRenderedPageBreak/>
        <w:t xml:space="preserve">on coronary angiography, or sudden cardiac death or </w:t>
      </w:r>
      <w:r w:rsidR="00474B8A">
        <w:rPr>
          <w:rFonts w:cs="Arial"/>
        </w:rPr>
        <w:t>MI</w:t>
      </w:r>
      <w:r w:rsidRPr="00432D1C">
        <w:rPr>
          <w:rFonts w:cs="Arial"/>
        </w:rPr>
        <w:t xml:space="preserve"> occurring during 60-day follow-up</w:t>
      </w:r>
      <w:r w:rsidRPr="00432D1C">
        <w:t xml:space="preserve">. </w:t>
      </w:r>
      <w:r w:rsidRPr="00432D1C">
        <w:rPr>
          <w:rFonts w:cs="Arial"/>
        </w:rPr>
        <w:t xml:space="preserve">In contrast to the definition used in APACE, </w:t>
      </w:r>
      <w:r w:rsidR="00D67AC3">
        <w:rPr>
          <w:rFonts w:cs="Arial"/>
        </w:rPr>
        <w:t>the presence of a single troponin concentration above the 99</w:t>
      </w:r>
      <w:r w:rsidR="00D67AC3" w:rsidRPr="00AF337A">
        <w:rPr>
          <w:rFonts w:cs="Arial"/>
          <w:vertAlign w:val="superscript"/>
        </w:rPr>
        <w:t>th</w:t>
      </w:r>
      <w:r w:rsidR="00D67AC3">
        <w:rPr>
          <w:rFonts w:cs="Arial"/>
        </w:rPr>
        <w:t xml:space="preserve"> percentile was deemed </w:t>
      </w:r>
      <w:proofErr w:type="gramStart"/>
      <w:r w:rsidR="00D67AC3">
        <w:rPr>
          <w:rFonts w:cs="Arial"/>
        </w:rPr>
        <w:t>sufficient</w:t>
      </w:r>
      <w:proofErr w:type="gramEnd"/>
      <w:r w:rsidR="00D67AC3">
        <w:rPr>
          <w:rFonts w:cs="Arial"/>
        </w:rPr>
        <w:t xml:space="preserve"> to exclude the diagnosis of </w:t>
      </w:r>
      <w:r w:rsidR="001E7C94">
        <w:rPr>
          <w:rFonts w:cs="Arial"/>
        </w:rPr>
        <w:t>UA</w:t>
      </w:r>
      <w:r w:rsidRPr="00432D1C">
        <w:rPr>
          <w:rFonts w:cs="Arial"/>
        </w:rPr>
        <w:t xml:space="preserve">. As a second difference, objective evidence of ischaemia </w:t>
      </w:r>
      <w:r w:rsidR="00A36A3B">
        <w:rPr>
          <w:rFonts w:cs="Arial"/>
        </w:rPr>
        <w:t xml:space="preserve">or obstructive coronary disease </w:t>
      </w:r>
      <w:r w:rsidRPr="00432D1C">
        <w:rPr>
          <w:rFonts w:cs="Arial"/>
        </w:rPr>
        <w:t>was a mandatory criterion in High-STEAC</w:t>
      </w:r>
      <w:r w:rsidR="00A36A3B">
        <w:rPr>
          <w:rFonts w:cs="Arial"/>
        </w:rPr>
        <w:t>S</w:t>
      </w:r>
      <w:r w:rsidRPr="00432D1C">
        <w:rPr>
          <w:rFonts w:cs="Arial"/>
        </w:rPr>
        <w:t xml:space="preserve">, whereas it was not mandatory in APACE. Accordingly, an elderly patient with known CAD and very typical angina pectoris including response to anti-ischemic therapy in whom no objective ischaemia testing was performed would be adjudicated to have </w:t>
      </w:r>
      <w:r w:rsidR="001E7C94">
        <w:rPr>
          <w:rFonts w:cs="Arial"/>
        </w:rPr>
        <w:t>UA</w:t>
      </w:r>
      <w:r w:rsidRPr="00432D1C">
        <w:rPr>
          <w:rFonts w:cs="Arial"/>
        </w:rPr>
        <w:t xml:space="preserve"> in APACE, but not in High-STEACS. </w:t>
      </w:r>
      <w:r w:rsidRPr="00432D1C">
        <w:t xml:space="preserve">Those patients in whom a diagnosis of acute coronary syndrome was excluded were classified as </w:t>
      </w:r>
      <w:proofErr w:type="spellStart"/>
      <w:r w:rsidRPr="00432D1C">
        <w:t>NCoCP</w:t>
      </w:r>
      <w:proofErr w:type="spellEnd"/>
      <w:r w:rsidRPr="00432D1C">
        <w:t>. Two independent cardiologists (PA, NLM) reviewed all available medical records, including patient history, physical examination, results of laboratory testing including local contemporary and high-sensitivity troponin concentrations, electrocardiography, echocardiography, exercise stress testing, and coronary angiography from the time of presentation to 60-day follow-up. In situations of initial diagnostic disagreement, cases were reviewed and adjudicated by consensus.</w:t>
      </w:r>
    </w:p>
    <w:p w14:paraId="14F8573A" w14:textId="06146A6B" w:rsidR="00256C6B" w:rsidRDefault="00256C6B" w:rsidP="00B765EC">
      <w:pPr>
        <w:pStyle w:val="berschrift2"/>
      </w:pPr>
      <w:r>
        <w:t xml:space="preserve">Angiographic characteristics of </w:t>
      </w:r>
      <w:r w:rsidR="001E7C94">
        <w:t>UA</w:t>
      </w:r>
    </w:p>
    <w:p w14:paraId="286B8F71" w14:textId="584331C2" w:rsidR="00256C6B" w:rsidRDefault="00256C6B" w:rsidP="00924D72">
      <w:pPr>
        <w:spacing w:after="0"/>
      </w:pPr>
      <w:r>
        <w:rPr>
          <w:rFonts w:cs="Arial"/>
          <w:szCs w:val="24"/>
        </w:rPr>
        <w:t xml:space="preserve">In a subgroup of patients with </w:t>
      </w:r>
      <w:r w:rsidR="001E7C94">
        <w:rPr>
          <w:rFonts w:cs="Arial"/>
          <w:szCs w:val="24"/>
        </w:rPr>
        <w:t>UA</w:t>
      </w:r>
      <w:r>
        <w:rPr>
          <w:rFonts w:cs="Arial"/>
          <w:szCs w:val="24"/>
        </w:rPr>
        <w:t xml:space="preserve"> or NSTEMI who underwent coronary angiography we did detailed analysis of the angiographic results and characterised the lesions according to the Ambrose criteria</w:t>
      </w:r>
      <w:r>
        <w:rPr>
          <w:rFonts w:cs="Arial"/>
          <w:szCs w:val="24"/>
        </w:rPr>
        <w:fldChar w:fldCharType="begin" w:fldLock="1"/>
      </w:r>
      <w:r w:rsidR="00C432E6">
        <w:rPr>
          <w:rFonts w:cs="Arial"/>
          <w:szCs w:val="24"/>
        </w:rPr>
        <w:instrText>ADDIN CSL_CITATION {"citationItems":[{"id":"ITEM-1","itemData":{"ISSN":"0002-9149","PMID":"9068508","abstract":"The evolution and progression of thrombus and dissection after percutaneous transluminal coronary angioplasty (PTCA) are unknown. As part of the protocol of the Thrombolysis and Angioplasty in Unstable Angina (TAUSA) trial, 1 and 15 minutes post-PTCA angiograms were routinely performed and evaluated by the core laboratory for the presence of thrombus and either minor or major dissection. Thrombus was present at 1 minute in 4.4% of culprit lesions. This increased to 16% at 15 minutes (p &lt; 0.005) and was equally seen in patients receiving both urokinase and placebo. Any dissection was noted in 25.2% at 1 minute versus 30.5% at 15 minutes (p &lt; 0.08), and this trend was mainly related to an increase in major dissection with urokinase at 15 minutes versus 1 minute (10.1% vs 5.9%, respectively, p = 0.10). The in-hospital clinical outcome of patients with lesions that did or did not have thrombus or major dissection at 1 and 15 minutes was retrospectively assessed in the placebo group. The presence of either thrombus or major dissection at 1 minute was associated with a subsequent incidence of acute closure of 14% and an incidence of emergency bypass surgery of 11% (p &lt; 0.01 compared with no thrombus or major dissection at 1 minute). The absence of thrombus and major dissection at 15 minutes (n = 173) was associated with no subsequent acute closure or emergency bypass surgery, (p &lt; 0.05 for acute closure vs thrombus or major dissection at 15 minutes). Thrombus evolves progressively over 15 minutes after PTCA in unstable angina, whereas dissection is usually present immediately after PTCA. The absence of thrombus and major dissection at 15 minutes is associated with very low-acute in-hospital complications. Delayed angiograms following standard balloon angioplasty for unstable angina may be predictive of low complications and our study suggests a possible role for their use.","author":[{"dropping-particle":"","family":"Ambrose","given":"J A","non-dropping-particle":"","parse-names":false,"suffix":""},{"dropping-particle":"","family":"Almeida","given":"O D","non-dropping-particle":"","parse-names":false,"suffix":""},{"dropping-particle":"","family":"Sharma","given":"S K","non-dropping-particle":"","parse-names":false,"suffix":""},{"dropping-particle":"","family":"Dangas","given":"G","non-dropping-particle":"","parse-names":false,"suffix":""},{"dropping-particle":"","family":"Ratner","given":"D E","non-dropping-particle":"","parse-names":false,"suffix":""}],"container-title":"The American journal of cardiology","id":"ITEM-1","issue":"5","issued":{"date-parts":[["1997","3","1"]]},"page":"559-63","title":"Angiographic evolution of intracoronary thrombus and dissection following percutaneous transluminal coronary angioplasty (the Thrombolysis and Angioplasty in Unstable Angina [TAUSA] trial).","type":"article-journal","volume":"79"},"uris":["http://www.mendeley.com/documents/?uuid=6304bb34-4036-3896-af92-6ac017564b65"]}],"mendeley":{"formattedCitation":"[15]","plainTextFormattedCitation":"[15]","previouslyFormattedCitation":"[10]"},"properties":{"noteIndex":0},"schema":"https://github.com/citation-style-language/schema/raw/master/csl-citation.json"}</w:instrText>
      </w:r>
      <w:r>
        <w:rPr>
          <w:rFonts w:cs="Arial"/>
          <w:szCs w:val="24"/>
        </w:rPr>
        <w:fldChar w:fldCharType="separate"/>
      </w:r>
      <w:r w:rsidR="00C432E6" w:rsidRPr="00C432E6">
        <w:rPr>
          <w:rFonts w:cs="Arial"/>
          <w:noProof/>
          <w:szCs w:val="24"/>
        </w:rPr>
        <w:t>[15]</w:t>
      </w:r>
      <w:r>
        <w:rPr>
          <w:rFonts w:cs="Arial"/>
          <w:szCs w:val="24"/>
        </w:rPr>
        <w:fldChar w:fldCharType="end"/>
      </w:r>
      <w:r>
        <w:rPr>
          <w:rFonts w:cs="Arial"/>
          <w:szCs w:val="24"/>
        </w:rPr>
        <w:t>.</w:t>
      </w:r>
    </w:p>
    <w:p w14:paraId="5F2724B1" w14:textId="2E6ABA30" w:rsidR="003070B4" w:rsidRDefault="003070B4" w:rsidP="003070B4">
      <w:pPr>
        <w:pStyle w:val="berschrift2"/>
      </w:pPr>
      <w:r>
        <w:t>Supplemental statistical analyses</w:t>
      </w:r>
    </w:p>
    <w:p w14:paraId="3B2AE6AD" w14:textId="2AD9B81F" w:rsidR="00106FBA" w:rsidRDefault="003070B4" w:rsidP="00924D72">
      <w:pPr>
        <w:rPr>
          <w:rFonts w:cs="Arial"/>
          <w:szCs w:val="24"/>
          <w:lang w:eastAsia="de-CH"/>
        </w:rPr>
      </w:pPr>
      <w:r w:rsidRPr="00450D3C">
        <w:rPr>
          <w:rFonts w:cs="Arial"/>
          <w:szCs w:val="24"/>
          <w:lang w:eastAsia="de-CH"/>
        </w:rPr>
        <w:t xml:space="preserve">To adjust for potential influencing variables, we performed multivariable </w:t>
      </w:r>
      <w:r>
        <w:rPr>
          <w:rFonts w:cs="Arial"/>
          <w:szCs w:val="24"/>
          <w:lang w:eastAsia="de-CH"/>
        </w:rPr>
        <w:t>C</w:t>
      </w:r>
      <w:r w:rsidRPr="00450D3C">
        <w:rPr>
          <w:rFonts w:cs="Arial"/>
          <w:szCs w:val="24"/>
          <w:lang w:eastAsia="de-CH"/>
        </w:rPr>
        <w:t>ox proportional hazards</w:t>
      </w:r>
      <w:r>
        <w:rPr>
          <w:rFonts w:cs="Arial"/>
          <w:szCs w:val="24"/>
          <w:lang w:eastAsia="de-CH"/>
        </w:rPr>
        <w:t xml:space="preserve"> regression, using forced entry</w:t>
      </w:r>
      <w:r w:rsidRPr="00450D3C">
        <w:rPr>
          <w:rFonts w:cs="Arial"/>
          <w:szCs w:val="24"/>
          <w:lang w:eastAsia="de-CH"/>
        </w:rPr>
        <w:t xml:space="preserve">. </w:t>
      </w:r>
      <w:r>
        <w:rPr>
          <w:rFonts w:cs="Arial"/>
          <w:szCs w:val="24"/>
          <w:lang w:eastAsia="de-CH"/>
        </w:rPr>
        <w:t>F</w:t>
      </w:r>
      <w:r w:rsidRPr="00450D3C">
        <w:rPr>
          <w:rFonts w:cs="Arial"/>
          <w:szCs w:val="24"/>
          <w:lang w:eastAsia="de-CH"/>
        </w:rPr>
        <w:t>or</w:t>
      </w:r>
      <w:r>
        <w:rPr>
          <w:rFonts w:cs="Arial"/>
          <w:szCs w:val="24"/>
          <w:lang w:eastAsia="de-CH"/>
        </w:rPr>
        <w:t xml:space="preserve"> occurrence of </w:t>
      </w:r>
      <w:r w:rsidR="00AA2D68">
        <w:rPr>
          <w:rFonts w:cs="Arial"/>
          <w:szCs w:val="24"/>
          <w:lang w:eastAsia="de-CH"/>
        </w:rPr>
        <w:t xml:space="preserve">future non-fatal </w:t>
      </w:r>
      <w:proofErr w:type="gramStart"/>
      <w:r w:rsidR="00474B8A">
        <w:rPr>
          <w:rFonts w:cs="Arial"/>
          <w:szCs w:val="24"/>
          <w:lang w:eastAsia="de-CH"/>
        </w:rPr>
        <w:t>MI</w:t>
      </w:r>
      <w:proofErr w:type="gramEnd"/>
      <w:r w:rsidRPr="00450D3C">
        <w:rPr>
          <w:rFonts w:cs="Arial"/>
          <w:szCs w:val="24"/>
          <w:lang w:eastAsia="de-CH"/>
        </w:rPr>
        <w:t xml:space="preserve"> </w:t>
      </w:r>
      <w:r>
        <w:rPr>
          <w:rFonts w:cs="Arial"/>
          <w:szCs w:val="24"/>
          <w:lang w:eastAsia="de-CH"/>
        </w:rPr>
        <w:t>w</w:t>
      </w:r>
      <w:r w:rsidRPr="00450D3C">
        <w:rPr>
          <w:rFonts w:cs="Arial"/>
          <w:szCs w:val="24"/>
          <w:lang w:eastAsia="de-CH"/>
        </w:rPr>
        <w:t xml:space="preserve">e included age, gender, cardiovascular risk factors (hypertension, hypercholesterolemia, diabetes, active smoker), known CAD, previous myocardial infarction, and previous </w:t>
      </w:r>
      <w:r>
        <w:rPr>
          <w:rFonts w:cs="Arial"/>
          <w:szCs w:val="24"/>
          <w:lang w:eastAsia="de-CH"/>
        </w:rPr>
        <w:t>revascularisation. For all-cause death we</w:t>
      </w:r>
      <w:r w:rsidRPr="00450D3C">
        <w:rPr>
          <w:rFonts w:cs="Arial"/>
          <w:szCs w:val="24"/>
          <w:lang w:eastAsia="de-CH"/>
        </w:rPr>
        <w:t xml:space="preserve"> </w:t>
      </w:r>
      <w:r>
        <w:rPr>
          <w:rFonts w:cs="Arial"/>
          <w:szCs w:val="24"/>
          <w:lang w:eastAsia="de-CH"/>
        </w:rPr>
        <w:t xml:space="preserve">included </w:t>
      </w:r>
      <w:r w:rsidRPr="00450D3C">
        <w:rPr>
          <w:rFonts w:cs="Arial"/>
          <w:szCs w:val="24"/>
          <w:lang w:eastAsia="de-CH"/>
        </w:rPr>
        <w:t>additional factors associated with mortality (renal insufficiency, obstructive lung disease, malignancy)</w:t>
      </w:r>
      <w:r>
        <w:rPr>
          <w:rFonts w:cs="Arial"/>
          <w:szCs w:val="24"/>
          <w:lang w:eastAsia="de-CH"/>
        </w:rPr>
        <w:t>.</w:t>
      </w:r>
      <w:r w:rsidRPr="00450D3C">
        <w:rPr>
          <w:rFonts w:cs="Arial"/>
          <w:szCs w:val="24"/>
          <w:lang w:eastAsia="de-CH"/>
        </w:rPr>
        <w:t xml:space="preserve"> For </w:t>
      </w:r>
      <w:r>
        <w:rPr>
          <w:rFonts w:cs="Arial"/>
          <w:szCs w:val="24"/>
          <w:lang w:eastAsia="de-CH"/>
        </w:rPr>
        <w:t xml:space="preserve">the analysis of </w:t>
      </w:r>
      <w:r w:rsidR="00AA2D68">
        <w:rPr>
          <w:rFonts w:cs="Arial"/>
          <w:szCs w:val="24"/>
          <w:lang w:eastAsia="de-CH"/>
        </w:rPr>
        <w:t xml:space="preserve">future non-fatal </w:t>
      </w:r>
      <w:r w:rsidR="00474B8A">
        <w:rPr>
          <w:rFonts w:cs="Arial"/>
          <w:szCs w:val="24"/>
          <w:lang w:eastAsia="de-CH"/>
        </w:rPr>
        <w:t>MI</w:t>
      </w:r>
      <w:r w:rsidRPr="00450D3C">
        <w:rPr>
          <w:rFonts w:cs="Arial"/>
          <w:szCs w:val="24"/>
          <w:lang w:eastAsia="de-CH"/>
        </w:rPr>
        <w:t xml:space="preserve">, we </w:t>
      </w:r>
      <w:r>
        <w:rPr>
          <w:rFonts w:cs="Arial"/>
          <w:szCs w:val="24"/>
          <w:lang w:eastAsia="de-CH"/>
        </w:rPr>
        <w:t>performed</w:t>
      </w:r>
      <w:r w:rsidRPr="00450D3C">
        <w:rPr>
          <w:rFonts w:cs="Arial"/>
          <w:szCs w:val="24"/>
          <w:lang w:eastAsia="de-CH"/>
        </w:rPr>
        <w:t xml:space="preserve"> a </w:t>
      </w:r>
      <w:proofErr w:type="spellStart"/>
      <w:r>
        <w:rPr>
          <w:rFonts w:cs="Arial"/>
          <w:szCs w:val="24"/>
          <w:lang w:eastAsia="de-CH"/>
        </w:rPr>
        <w:lastRenderedPageBreak/>
        <w:t>subdistribution</w:t>
      </w:r>
      <w:proofErr w:type="spellEnd"/>
      <w:r w:rsidRPr="00450D3C">
        <w:rPr>
          <w:rFonts w:cs="Arial"/>
          <w:szCs w:val="24"/>
          <w:lang w:eastAsia="de-CH"/>
        </w:rPr>
        <w:t xml:space="preserve"> competing risk analysis to account for all-cause mortality as sensitivity analysis</w:t>
      </w:r>
      <w:r w:rsidRPr="00450D3C">
        <w:rPr>
          <w:rFonts w:cs="Arial"/>
          <w:szCs w:val="24"/>
          <w:lang w:eastAsia="de-CH"/>
        </w:rPr>
        <w:fldChar w:fldCharType="begin" w:fldLock="1"/>
      </w:r>
      <w:r w:rsidR="00C432E6">
        <w:rPr>
          <w:rFonts w:cs="Arial"/>
          <w:szCs w:val="24"/>
          <w:lang w:eastAsia="de-CH"/>
        </w:rPr>
        <w:instrText>ADDIN CSL_CITATION {"citationItems":[{"id":"ITEM-1","itemData":{"DOI":"10.1161/CIRCULATIONAHA.115.017719","ISSN":"0009-7322","PMID":"26858290","abstract":"Competing risks occur frequently in the analysis of survival data. A competing risk is an event whose occurrence precludes the occurrence of the primary event of interest. In a study examining time to death attributable to cardiovascular causes, death attributable to noncardiovascular causes is a competing risk. When estimating the crude incidence of outcomes, analysts should use the cumulative incidence function, rather than the complement of the Kaplan-Meier survival function. The use of the Kaplan-Meier survival function results in estimates of incidence that are biased upward, regardless of whether the competing events are independent of one another. When fitting regression models in the presence of competing risks, researchers can choose from 2 different families of models: modeling the effect of covariates on the cause-specific hazard of the outcome or modeling the effect of covariates on the cumulative incidence function. The former allows one to estimate the effect of the covariates on the rate of occurrence of the outcome in those subjects who are currently event free. The latter allows one to estimate the effect of covariates on the absolute risk of the outcome over time. The former family of models may be better suited for addressing etiologic questions, whereas the latter model may be better suited for estimating a patient’s clinical prognosis. We illustrate the application of these methods by examining cause-specific mortality in patients hospitalized with heart failure. Statistical software code in both R and SAS is provided.","author":[{"dropping-particle":"","family":"Austin","given":"Peter C.","non-dropping-particle":"","parse-names":false,"suffix":""},{"dropping-particle":"","family":"Lee","given":"Douglas S.","non-dropping-particle":"","parse-names":false,"suffix":""},{"dropping-particle":"","family":"Fine","given":"Jason P.","non-dropping-particle":"","parse-names":false,"suffix":""}],"container-title":"Circulation","id":"ITEM-1","issue":"6","issued":{"date-parts":[["2016","2","8"]]},"note":"From Duplicate 1 (Introduction to the Analysis of Survival Data in the Presence of Competing Risks - Austin, Peter C.; Lee, Douglas S.; Fine, Jason P.)\n\nHäufig gemacht und falsch: zensieren des Falls bei eintreten des competing risks (Begründung: Zensurierung ist nicht mehr unabhängig und nicht-informiert [independent and noninformative], beides Bedingungen für Verwendung von Zensurierung zB in Kaplan-Meier)\n\nMethoden zur präzisen Schätzung der einzelnen Komponenten eines Endpunkts bei competing risks:\nCumulative Incidence Function (CIF)\nCause Specific Hazard Function and Subdistribution Hazard Function [9,10,14]\nAnm: cause-specific hazard models are “better suited for studying the etiology of diseases, where the [subdistribution hazard model] has use in predicting an individual’s risk.” [9, p245]\n\nUmsetzung (Beispiele inkl Skript in Appendix):\nCumulative Incidence Function (CIF) in R: cuminc(), package &amp;quot;cmprsk&amp;quot;\nCause-specific Hazard Function: any program, R: e.g. coxph(), package &amp;quot;survival&amp;quot;\nSubdistribution Hazard Function in R: crr(), package &amp;quot;cmprsk&amp;quot;","page":"601-609","title":"Introduction to the Analysis of Survival Data in the Presence of Competing Risks","type":"article-journal","volume":"133"},"uris":["http://www.mendeley.com/documents/?uuid=4634e98f-9b5f-4704-bfd6-74a54ceed8ea"]}],"mendeley":{"formattedCitation":"[16]","plainTextFormattedCitation":"[16]","previouslyFormattedCitation":"[11]"},"properties":{"noteIndex":0},"schema":"https://github.com/citation-style-language/schema/raw/master/csl-citation.json"}</w:instrText>
      </w:r>
      <w:r w:rsidRPr="00450D3C">
        <w:rPr>
          <w:rFonts w:cs="Arial"/>
          <w:szCs w:val="24"/>
          <w:lang w:eastAsia="de-CH"/>
        </w:rPr>
        <w:fldChar w:fldCharType="separate"/>
      </w:r>
      <w:r w:rsidR="00C432E6" w:rsidRPr="00C432E6">
        <w:rPr>
          <w:rFonts w:cs="Arial"/>
          <w:noProof/>
          <w:szCs w:val="24"/>
          <w:lang w:eastAsia="de-CH"/>
        </w:rPr>
        <w:t>[16]</w:t>
      </w:r>
      <w:r w:rsidRPr="00450D3C">
        <w:rPr>
          <w:rFonts w:cs="Arial"/>
          <w:szCs w:val="24"/>
          <w:lang w:eastAsia="de-CH"/>
        </w:rPr>
        <w:fldChar w:fldCharType="end"/>
      </w:r>
      <w:r w:rsidRPr="00450D3C">
        <w:rPr>
          <w:rFonts w:cs="Arial"/>
          <w:szCs w:val="24"/>
          <w:lang w:eastAsia="de-CH"/>
        </w:rPr>
        <w:t xml:space="preserve">. </w:t>
      </w:r>
    </w:p>
    <w:p w14:paraId="109FBCB8" w14:textId="77777777" w:rsidR="00106FBA" w:rsidRDefault="00106FBA" w:rsidP="00106FBA">
      <w:pPr>
        <w:pStyle w:val="berschrift2"/>
      </w:pPr>
      <w:r>
        <w:t xml:space="preserve">Sensitivity analysis using </w:t>
      </w:r>
      <w:proofErr w:type="spellStart"/>
      <w:r>
        <w:t>hs-cTnI</w:t>
      </w:r>
      <w:proofErr w:type="spellEnd"/>
      <w:r>
        <w:t xml:space="preserve"> for adjudication of final diagnosis in APACE</w:t>
      </w:r>
    </w:p>
    <w:p w14:paraId="67DE9E0F" w14:textId="3FC06EA4" w:rsidR="00106FBA" w:rsidRDefault="00106FBA" w:rsidP="00106FBA">
      <w:pPr>
        <w:rPr>
          <w:i/>
          <w:lang w:val="en-US"/>
        </w:rPr>
      </w:pPr>
      <w:r>
        <w:rPr>
          <w:lang w:val="en-US"/>
        </w:rPr>
        <w:t>For the APACE study, w</w:t>
      </w:r>
      <w:r w:rsidRPr="00771347">
        <w:rPr>
          <w:lang w:val="en-US"/>
        </w:rPr>
        <w:t>e performed a second adjudication using</w:t>
      </w:r>
      <w:r>
        <w:rPr>
          <w:lang w:val="en-US"/>
        </w:rPr>
        <w:t xml:space="preserve"> the same stringent methodology including </w:t>
      </w:r>
      <w:r w:rsidRPr="00771347">
        <w:rPr>
          <w:lang w:val="en-US"/>
        </w:rPr>
        <w:t>radiologic testing, ECG, echocardiography, cardiac exercise test, lesion severity and morphology in coronary angiography, cardiac magnetic resonance imaging pertaining to the patient from the time of ED pr</w:t>
      </w:r>
      <w:r>
        <w:rPr>
          <w:lang w:val="en-US"/>
        </w:rPr>
        <w:t>esentation to 90-day follow up, and</w:t>
      </w:r>
      <w:r w:rsidRPr="00771347">
        <w:rPr>
          <w:lang w:val="en-US"/>
        </w:rPr>
        <w:t xml:space="preserve"> serial </w:t>
      </w:r>
      <w:proofErr w:type="spellStart"/>
      <w:r w:rsidRPr="00771347">
        <w:rPr>
          <w:lang w:val="en-US"/>
        </w:rPr>
        <w:t>hs-cTnI</w:t>
      </w:r>
      <w:proofErr w:type="spellEnd"/>
      <w:r w:rsidRPr="00771347">
        <w:rPr>
          <w:lang w:val="en-US"/>
        </w:rPr>
        <w:t xml:space="preserve"> (rather than </w:t>
      </w:r>
      <w:proofErr w:type="spellStart"/>
      <w:r w:rsidRPr="00771347">
        <w:rPr>
          <w:lang w:val="en-US"/>
        </w:rPr>
        <w:t>hs-cTnT</w:t>
      </w:r>
      <w:proofErr w:type="spellEnd"/>
      <w:r w:rsidRPr="00771347">
        <w:rPr>
          <w:lang w:val="en-US"/>
        </w:rPr>
        <w:t>) blood concentrations from study samples</w:t>
      </w:r>
      <w:r>
        <w:rPr>
          <w:i/>
          <w:lang w:val="en-US"/>
        </w:rPr>
        <w:fldChar w:fldCharType="begin" w:fldLock="1"/>
      </w:r>
      <w:r w:rsidR="00C432E6">
        <w:rPr>
          <w:lang w:val="en-US"/>
        </w:rPr>
        <w:instrText>ADDIN CSL_CITATION {"citationItems":[{"id":"ITEM-1","itemData":{"DOI":"10.1373/clinchem.2018.286906","ISSN":"1530-8561","PMID":"29941469","abstract":"BACKGROUND Clinical performance of the novel high-sensitivity cardiac troponin I (Siemens-hs-cTnI-Centaur) assay is unknown. We aimed to clinically validate the Siemens-hs-cTnI-Centaur assay and develop 0/1-h and 0/2-h algorithms. METHODS We enrolled patients presenting to the emergency department with symptoms suggestive of acute myocardial infarction (AMI). Final diagnoses were centrally adjudicated by 2 independent cardiologists including all clinical information twice: first, using serial hs-cTnT (Roche-Elecsys, primary analysis); second, using hs-cTnI (Abbott-Architect, secondary analysis) measurements in addition to the clinically applied (hs)-cTn. Siemens-hs-cTnI-Centaur was measured at presentation, 1 h, and 2 h. The primary objective was a direct comparison of diagnostic accuracy, quantified by the area under the ROC curve (AUC), of Siemens-hs-cTnI-Centaur vs the 2 established hs-cTn assays (Roche-hs-cTnT-Elecsys, Abbott-hs-cTnI-Architect). Secondary objectives included the development of Siemens-hs-cTnI-Centaur-specific 0/1-h and 0/2-h algorithms. RESULTS AMI was the final diagnosis in 318 of 1755 (18%) patients (using Roche-hs-cTnT-Elecsys for adjudication). The AUC at presentation for Siemens-hs-cTnI-Centaur was 0.94 (95% CI, 0.92-0.96) and comparable with 0.95 (95% CI, 0.93-0.97) for Roche-hs-cTnT-Elecsys and 0.93 (95% CI, 0.90-0.96) for Abbott-hs-cTnI-Architect. Applying the derived Siemens-hs-cTnI-Centaur 0/1-h algorithm to the validation cohort, 46% of patients were ruled out (sensitivity, 99.1%; 95% CI, 95.3-100), and 18% of patients were ruled in (specificity, 94.1%; 95% CI, 91.8-95.9). The Siemens-hs-cTnI-Centaur 0/2-h algorithm ruled out 55% of patients (sensitivity, 100%; 95% CI, 94.1-100), and ruled in 18% of patients (specificity, 96.0%; 95% CI, 93.1-97.9). Findings were confirmed in the secondary analyses using serial measurements of Abbott-hs-cTnI-Architect for adjudication. CONCLUSIONS Diagnostic accuracy and clinical utility of the novel Siemens-hs-cTnI-Centaur assay are high and comparable with the established hs-cTn assays. ClinicalTrials.gov Identifier: NCT00470587.","author":[{"dropping-particle":"","family":"Boeddinghaus","given":"Jasper","non-dropping-particle":"","parse-names":false,"suffix":""},{"dropping-particle":"","family":"Twerenbold","given":"Raphael","non-dropping-particle":"","parse-names":false,"suffix":""},{"dropping-particle":"","family":"Nestelberger","given":"Thomas","non-dropping-particle":"","parse-names":false,"suffix":""},{"dropping-particle":"","family":"Badertscher","given":"Patrick","non-dropping-particle":"","parse-names":false,"suffix":""},{"dropping-particle":"","family":"Wildi","given":"Karin","non-dropping-particle":"","parse-names":false,"suffix":""},{"dropping-particle":"","family":"Puelacher","given":"Christian","non-dropping-particle":"","parse-names":false,"suffix":""},{"dropping-particle":"","family":"Fay de Lavallaz","given":"Jeanne","non-dropping-particle":"du","parse-names":false,"suffix":""},{"dropping-particle":"","family":"Keser","given":"Elif","non-dropping-particle":"","parse-names":false,"suffix":""},{"dropping-particle":"","family":"Rubini Giménez","given":"Maria","non-dropping-particle":"","parse-names":false,"suffix":""},{"dropping-particle":"","family":"Wussler","given":"Desiree","non-dropping-particle":"","parse-names":false,"suffix":""},{"dropping-particle":"","family":"Kozhuharov","given":"Nikola","non-dropping-particle":"","parse-names":false,"suffix":""},{"dropping-particle":"","family":"Rentsch","given":"Katharina","non-dropping-particle":"","parse-names":false,"suffix":""},{"dropping-particle":"","family":"Miró","given":"Òscar","non-dropping-particle":"","parse-names":false,"suffix":""},{"dropping-particle":"","family":"Martin-Sanchez","given":"F Javier","non-dropping-particle":"","parse-names":false,"suffix":""},{"dropping-particle":"","family":"Morawiec","given":"Beata","non-dropping-particle":"","parse-names":false,"suffix":""},{"dropping-particle":"","family":"Stefanelli","given":"Sabrina","non-dropping-particle":"","parse-names":false,"suffix":""},{"dropping-particle":"","family":"Geigy","given":"Nicolas","non-dropping-particle":"","parse-names":false,"suffix":""},{"dropping-particle":"","family":"Keller","given":"Dagmar I","non-dropping-particle":"","parse-names":false,"suffix":""},{"dropping-particle":"","family":"Reichlin","given":"Tobias","non-dropping-particle":"","parse-names":false,"suffix":""},{"dropping-particle":"","family":"Mueller","given":"Christian","non-dropping-particle":"","parse-names":false,"suffix":""},{"dropping-particle":"","family":"APACE Investigators","given":"for the APACE","non-dropping-particle":"","parse-names":false,"suffix":""}],"container-title":"Clinical chemistry","id":"ITEM-1","issue":"9","issued":{"date-parts":[["2018","9","1"]]},"page":"1347-1360","publisher":"Clinical Chemistry","title":"Clinical Validation of a Novel High-Sensitivity Cardiac Troponin I Assay for Early Diagnosis of Acute Myocardial Infarction.","type":"article-journal","volume":"64"},"uris":["http://www.mendeley.com/documents/?uuid=30e7d81a-a7bc-3d42-bea5-6fd133017713"]}],"mendeley":{"formattedCitation":"[17]","plainTextFormattedCitation":"[17]","previouslyFormattedCitation":"[12]"},"properties":{"noteIndex":0},"schema":"https://github.com/citation-style-language/schema/raw/master/csl-citation.json"}</w:instrText>
      </w:r>
      <w:r>
        <w:rPr>
          <w:i/>
          <w:lang w:val="en-US"/>
        </w:rPr>
        <w:fldChar w:fldCharType="separate"/>
      </w:r>
      <w:r w:rsidR="00C432E6" w:rsidRPr="00C432E6">
        <w:rPr>
          <w:noProof/>
          <w:lang w:val="en-US"/>
        </w:rPr>
        <w:t>[17]</w:t>
      </w:r>
      <w:r>
        <w:rPr>
          <w:i/>
          <w:lang w:val="en-US"/>
        </w:rPr>
        <w:fldChar w:fldCharType="end"/>
      </w:r>
      <w:r>
        <w:rPr>
          <w:i/>
          <w:lang w:val="en-US"/>
        </w:rPr>
        <w:t>.</w:t>
      </w:r>
    </w:p>
    <w:p w14:paraId="77FC2FE7" w14:textId="7D795945" w:rsidR="00D43D6A" w:rsidRDefault="00106FBA" w:rsidP="003E7FE3">
      <w:pPr>
        <w:rPr>
          <w:b/>
          <w:bCs/>
          <w:color w:val="365F91" w:themeColor="accent1" w:themeShade="BF"/>
          <w:sz w:val="28"/>
          <w:szCs w:val="28"/>
        </w:rPr>
      </w:pPr>
      <w:r>
        <w:t xml:space="preserve">Kaplan Meier plot and log-rank test were repeated for mortality and </w:t>
      </w:r>
      <w:r w:rsidR="00AA2D68">
        <w:t xml:space="preserve">future non-fatal </w:t>
      </w:r>
      <w:r w:rsidR="00474B8A">
        <w:t>MI</w:t>
      </w:r>
      <w:r>
        <w:t xml:space="preserve"> using the newly adjudicated final diagnosis using </w:t>
      </w:r>
      <w:proofErr w:type="spellStart"/>
      <w:r>
        <w:t>hs-cTnI</w:t>
      </w:r>
      <w:proofErr w:type="spellEnd"/>
      <w:r>
        <w:t>.</w:t>
      </w:r>
      <w:r w:rsidR="00D43D6A">
        <w:br w:type="page"/>
      </w:r>
    </w:p>
    <w:p w14:paraId="68D60FCD" w14:textId="1CFB83CE" w:rsidR="00D43D6A" w:rsidRDefault="00D43D6A" w:rsidP="00D43D6A">
      <w:pPr>
        <w:pStyle w:val="berschrift1"/>
      </w:pPr>
      <w:r>
        <w:lastRenderedPageBreak/>
        <w:t>Supplemental Results</w:t>
      </w:r>
    </w:p>
    <w:p w14:paraId="3B5C7E86" w14:textId="77777777" w:rsidR="00D43D6A" w:rsidRPr="00450D3C" w:rsidRDefault="00D43D6A" w:rsidP="00D43D6A">
      <w:pPr>
        <w:pStyle w:val="berschrift2"/>
        <w:rPr>
          <w:rFonts w:ascii="Arial" w:hAnsi="Arial" w:cs="Arial"/>
          <w:sz w:val="24"/>
          <w:szCs w:val="24"/>
        </w:rPr>
      </w:pPr>
      <w:r>
        <w:rPr>
          <w:rFonts w:ascii="Arial" w:hAnsi="Arial" w:cs="Arial"/>
          <w:sz w:val="24"/>
          <w:szCs w:val="24"/>
        </w:rPr>
        <w:t>Revascularisation</w:t>
      </w:r>
      <w:r w:rsidRPr="00450D3C">
        <w:rPr>
          <w:rFonts w:ascii="Arial" w:hAnsi="Arial" w:cs="Arial"/>
          <w:sz w:val="24"/>
          <w:szCs w:val="24"/>
        </w:rPr>
        <w:t xml:space="preserve"> </w:t>
      </w:r>
      <w:r>
        <w:rPr>
          <w:rFonts w:ascii="Arial" w:hAnsi="Arial" w:cs="Arial"/>
          <w:sz w:val="24"/>
          <w:szCs w:val="24"/>
        </w:rPr>
        <w:t>p</w:t>
      </w:r>
      <w:r w:rsidRPr="00450D3C">
        <w:rPr>
          <w:rFonts w:ascii="Arial" w:hAnsi="Arial" w:cs="Arial"/>
          <w:sz w:val="24"/>
          <w:szCs w:val="24"/>
        </w:rPr>
        <w:t xml:space="preserve">rocedures and </w:t>
      </w:r>
      <w:r>
        <w:rPr>
          <w:rFonts w:ascii="Arial" w:hAnsi="Arial" w:cs="Arial"/>
          <w:sz w:val="24"/>
          <w:szCs w:val="24"/>
        </w:rPr>
        <w:t>resource u</w:t>
      </w:r>
      <w:r w:rsidRPr="00450D3C">
        <w:rPr>
          <w:rFonts w:ascii="Arial" w:hAnsi="Arial" w:cs="Arial"/>
          <w:sz w:val="24"/>
          <w:szCs w:val="24"/>
        </w:rPr>
        <w:t>se</w:t>
      </w:r>
    </w:p>
    <w:p w14:paraId="666EB797" w14:textId="6BC82131" w:rsidR="00D43D6A" w:rsidRPr="00DE7880" w:rsidRDefault="00D43D6A" w:rsidP="00D43D6A">
      <w:pPr>
        <w:rPr>
          <w:rFonts w:cs="Arial"/>
          <w:szCs w:val="24"/>
        </w:rPr>
      </w:pPr>
      <w:r w:rsidRPr="00450D3C">
        <w:rPr>
          <w:rFonts w:cs="Arial"/>
          <w:szCs w:val="24"/>
        </w:rPr>
        <w:t xml:space="preserve">In APACE, 1054 (26%) patients underwent coronary </w:t>
      </w:r>
      <w:r w:rsidRPr="00DE7880">
        <w:rPr>
          <w:rFonts w:cs="Arial"/>
          <w:szCs w:val="24"/>
        </w:rPr>
        <w:t xml:space="preserve">angiography within 30 days. The respective rates of angiography within the diagnostic groups were: </w:t>
      </w:r>
      <w:r w:rsidR="001E7C94">
        <w:rPr>
          <w:rFonts w:cs="Arial"/>
          <w:szCs w:val="24"/>
        </w:rPr>
        <w:t>UA</w:t>
      </w:r>
      <w:r w:rsidRPr="00DE7880">
        <w:rPr>
          <w:rFonts w:cs="Arial"/>
          <w:szCs w:val="24"/>
        </w:rPr>
        <w:t xml:space="preserve"> 65% (238/366), NSTEMI 76% (474/622), NCCP </w:t>
      </w:r>
      <w:r w:rsidRPr="00DE7880">
        <w:rPr>
          <w:rFonts w:eastAsia="Times New Roman" w:cs="Arial"/>
          <w:color w:val="000000"/>
          <w:szCs w:val="24"/>
          <w:lang w:eastAsia="de-CH"/>
        </w:rPr>
        <w:t xml:space="preserve">5% (105/2154, </w:t>
      </w:r>
      <w:proofErr w:type="spellStart"/>
      <w:r w:rsidR="00D04302">
        <w:rPr>
          <w:rFonts w:eastAsia="Times New Roman" w:cs="Arial"/>
          <w:color w:val="000000"/>
          <w:szCs w:val="24"/>
          <w:lang w:eastAsia="de-CH"/>
        </w:rPr>
        <w:t>e</w:t>
      </w:r>
      <w:r w:rsidR="00317E7A">
        <w:rPr>
          <w:rFonts w:eastAsia="Times New Roman" w:cs="Arial"/>
          <w:color w:val="000000"/>
          <w:szCs w:val="24"/>
          <w:lang w:eastAsia="de-CH"/>
        </w:rPr>
        <w:t>Table</w:t>
      </w:r>
      <w:proofErr w:type="spellEnd"/>
      <w:r w:rsidRPr="00DE7880">
        <w:rPr>
          <w:rFonts w:cs="Arial"/>
          <w:szCs w:val="24"/>
        </w:rPr>
        <w:t xml:space="preserve"> 2). 57% (207/366) and 66% (410/622) of patients with </w:t>
      </w:r>
      <w:r w:rsidR="001E7C94">
        <w:rPr>
          <w:rFonts w:cs="Arial"/>
          <w:szCs w:val="24"/>
        </w:rPr>
        <w:t>UA</w:t>
      </w:r>
      <w:r w:rsidRPr="00DE7880">
        <w:rPr>
          <w:rFonts w:cs="Arial"/>
          <w:szCs w:val="24"/>
        </w:rPr>
        <w:t xml:space="preserve"> and NSTEMI underwent revascularisation within 30 days, respectively (p=</w:t>
      </w:r>
      <w:r>
        <w:rPr>
          <w:rFonts w:cs="Arial"/>
          <w:szCs w:val="24"/>
        </w:rPr>
        <w:t>0.</w:t>
      </w:r>
      <w:r w:rsidRPr="00DE7880">
        <w:rPr>
          <w:rFonts w:cs="Arial"/>
          <w:szCs w:val="24"/>
        </w:rPr>
        <w:t xml:space="preserve">004). Rates of revascularisation were similar in both groups at </w:t>
      </w:r>
      <w:r>
        <w:rPr>
          <w:rFonts w:cs="Arial"/>
          <w:szCs w:val="24"/>
        </w:rPr>
        <w:t>1</w:t>
      </w:r>
      <w:r w:rsidRPr="00DE7880">
        <w:rPr>
          <w:rFonts w:cs="Arial"/>
          <w:szCs w:val="24"/>
        </w:rPr>
        <w:t xml:space="preserve"> year (65% versus 66%, p=</w:t>
      </w:r>
      <w:r>
        <w:rPr>
          <w:rFonts w:cs="Arial"/>
          <w:szCs w:val="24"/>
        </w:rPr>
        <w:t>0.</w:t>
      </w:r>
      <w:r w:rsidRPr="00DE7880">
        <w:rPr>
          <w:rFonts w:cs="Arial"/>
          <w:szCs w:val="24"/>
        </w:rPr>
        <w:t>677).</w:t>
      </w:r>
    </w:p>
    <w:p w14:paraId="4085FEB0" w14:textId="712EB0AA" w:rsidR="00D43D6A" w:rsidRDefault="00D43D6A" w:rsidP="00D43D6A">
      <w:pPr>
        <w:spacing w:after="0"/>
        <w:ind w:firstLine="708"/>
        <w:rPr>
          <w:rFonts w:cs="Arial"/>
          <w:szCs w:val="24"/>
        </w:rPr>
      </w:pPr>
      <w:r w:rsidRPr="00DE7880">
        <w:rPr>
          <w:rFonts w:cs="Arial"/>
          <w:szCs w:val="24"/>
        </w:rPr>
        <w:t>In High-STEACS, 559 (11%) patients underwent coronary angiography within 30 days (</w:t>
      </w:r>
      <w:proofErr w:type="spellStart"/>
      <w:r w:rsidR="00D04302">
        <w:rPr>
          <w:rFonts w:cs="Arial"/>
          <w:szCs w:val="24"/>
        </w:rPr>
        <w:t>e</w:t>
      </w:r>
      <w:r w:rsidR="00317E7A">
        <w:rPr>
          <w:rFonts w:cs="Arial"/>
          <w:szCs w:val="24"/>
        </w:rPr>
        <w:t>Table</w:t>
      </w:r>
      <w:proofErr w:type="spellEnd"/>
      <w:r w:rsidRPr="00DE7880">
        <w:rPr>
          <w:rFonts w:cs="Arial"/>
          <w:szCs w:val="24"/>
        </w:rPr>
        <w:t xml:space="preserve"> </w:t>
      </w:r>
      <w:r>
        <w:rPr>
          <w:rFonts w:cs="Arial"/>
          <w:szCs w:val="24"/>
        </w:rPr>
        <w:t>3</w:t>
      </w:r>
      <w:r w:rsidRPr="00DE7880">
        <w:rPr>
          <w:rFonts w:cs="Arial"/>
          <w:szCs w:val="24"/>
        </w:rPr>
        <w:t xml:space="preserve">). The respective rates of angiography within the diagnostic groups were: </w:t>
      </w:r>
      <w:r w:rsidR="001E7C94">
        <w:rPr>
          <w:rFonts w:cs="Arial"/>
          <w:szCs w:val="24"/>
        </w:rPr>
        <w:t>UA</w:t>
      </w:r>
      <w:r w:rsidRPr="00DE7880">
        <w:rPr>
          <w:rFonts w:cs="Arial"/>
          <w:szCs w:val="24"/>
        </w:rPr>
        <w:t xml:space="preserve"> 21% (29/137), NSTEMI 55% (359/651), and </w:t>
      </w:r>
      <w:proofErr w:type="spellStart"/>
      <w:r w:rsidRPr="00DE7880">
        <w:rPr>
          <w:rFonts w:cs="Arial"/>
          <w:szCs w:val="24"/>
        </w:rPr>
        <w:t>NCoCP</w:t>
      </w:r>
      <w:proofErr w:type="spellEnd"/>
      <w:r w:rsidRPr="00DE7880">
        <w:rPr>
          <w:rFonts w:cs="Arial"/>
          <w:szCs w:val="24"/>
        </w:rPr>
        <w:t xml:space="preserve"> 2% (65/3951). 18% and 43% of patients with </w:t>
      </w:r>
      <w:r w:rsidR="001E7C94">
        <w:rPr>
          <w:rFonts w:cs="Arial"/>
          <w:szCs w:val="24"/>
        </w:rPr>
        <w:t>UA</w:t>
      </w:r>
      <w:r w:rsidRPr="00450D3C">
        <w:rPr>
          <w:rFonts w:cs="Arial"/>
          <w:szCs w:val="24"/>
        </w:rPr>
        <w:t xml:space="preserve"> and NSTEMI underwent </w:t>
      </w:r>
      <w:r>
        <w:rPr>
          <w:rFonts w:cs="Arial"/>
          <w:szCs w:val="24"/>
        </w:rPr>
        <w:t>revascularisation</w:t>
      </w:r>
      <w:r w:rsidRPr="00450D3C">
        <w:rPr>
          <w:rFonts w:cs="Arial"/>
          <w:szCs w:val="24"/>
        </w:rPr>
        <w:t>, respectively (p&lt;</w:t>
      </w:r>
      <w:r>
        <w:rPr>
          <w:rFonts w:cs="Arial"/>
          <w:szCs w:val="24"/>
        </w:rPr>
        <w:t>0.</w:t>
      </w:r>
      <w:r w:rsidRPr="00450D3C">
        <w:rPr>
          <w:rFonts w:cs="Arial"/>
          <w:szCs w:val="24"/>
        </w:rPr>
        <w:t>001).</w:t>
      </w:r>
    </w:p>
    <w:p w14:paraId="40B4F63B" w14:textId="273C5462" w:rsidR="00FF36D0" w:rsidRDefault="00FF36D0" w:rsidP="00D43D6A">
      <w:pPr>
        <w:spacing w:after="0"/>
        <w:ind w:firstLine="708"/>
        <w:rPr>
          <w:rFonts w:cs="Arial"/>
          <w:szCs w:val="24"/>
        </w:rPr>
      </w:pPr>
      <w:r>
        <w:rPr>
          <w:rFonts w:cs="Arial"/>
          <w:szCs w:val="24"/>
        </w:rPr>
        <w:t xml:space="preserve">We chose a subgroup of 212 patients from APACE and High-STEACS including 84 patients with </w:t>
      </w:r>
      <w:r w:rsidR="001E7C94">
        <w:rPr>
          <w:rFonts w:cs="Arial"/>
          <w:szCs w:val="24"/>
        </w:rPr>
        <w:t>UA</w:t>
      </w:r>
      <w:r>
        <w:rPr>
          <w:rFonts w:cs="Arial"/>
          <w:szCs w:val="24"/>
        </w:rPr>
        <w:t xml:space="preserve"> and 128 patients with NSTEMI for comparison of angiographic data. We found a difference in maximal stenosis in percent (</w:t>
      </w:r>
      <w:r w:rsidRPr="00FF36D0">
        <w:rPr>
          <w:rFonts w:cs="Arial"/>
          <w:szCs w:val="24"/>
        </w:rPr>
        <w:t>95</w:t>
      </w:r>
      <w:r>
        <w:rPr>
          <w:rFonts w:cs="Arial"/>
          <w:szCs w:val="24"/>
        </w:rPr>
        <w:t>%</w:t>
      </w:r>
      <w:r w:rsidRPr="00FF36D0">
        <w:rPr>
          <w:rFonts w:cs="Arial"/>
          <w:szCs w:val="24"/>
        </w:rPr>
        <w:t xml:space="preserve"> </w:t>
      </w:r>
      <w:r>
        <w:rPr>
          <w:rFonts w:cs="Arial"/>
          <w:szCs w:val="24"/>
        </w:rPr>
        <w:t xml:space="preserve">vs </w:t>
      </w:r>
      <w:r w:rsidRPr="00FF36D0">
        <w:rPr>
          <w:rFonts w:cs="Arial"/>
          <w:szCs w:val="24"/>
        </w:rPr>
        <w:t>90</w:t>
      </w:r>
      <w:r>
        <w:rPr>
          <w:rFonts w:cs="Arial"/>
          <w:szCs w:val="24"/>
        </w:rPr>
        <w:t>%, respectively), but lesion morphology, filling defects, ulcerations, or TIMI flow &lt;3 did not differ significantly</w:t>
      </w:r>
      <w:r w:rsidR="0022002A">
        <w:rPr>
          <w:rFonts w:cs="Arial"/>
          <w:szCs w:val="24"/>
        </w:rPr>
        <w:t xml:space="preserve"> (</w:t>
      </w:r>
      <w:proofErr w:type="spellStart"/>
      <w:r w:rsidR="0022002A">
        <w:rPr>
          <w:rFonts w:cs="Arial"/>
          <w:szCs w:val="24"/>
        </w:rPr>
        <w:t>eTable</w:t>
      </w:r>
      <w:proofErr w:type="spellEnd"/>
      <w:r w:rsidR="0022002A">
        <w:rPr>
          <w:rFonts w:cs="Arial"/>
          <w:szCs w:val="24"/>
        </w:rPr>
        <w:t xml:space="preserve"> 4).</w:t>
      </w:r>
    </w:p>
    <w:p w14:paraId="62B53CFA" w14:textId="5DF12BB8" w:rsidR="00106FBA" w:rsidRDefault="00106FBA" w:rsidP="00106FBA">
      <w:pPr>
        <w:pStyle w:val="berschrift2"/>
      </w:pPr>
      <w:r>
        <w:t xml:space="preserve">Sensitivity analysis using </w:t>
      </w:r>
      <w:proofErr w:type="spellStart"/>
      <w:r>
        <w:t>hs-cTnI</w:t>
      </w:r>
      <w:proofErr w:type="spellEnd"/>
      <w:r>
        <w:t xml:space="preserve"> for adjudication of final diagnosis in APACE</w:t>
      </w:r>
    </w:p>
    <w:p w14:paraId="0827228A" w14:textId="711E28A3" w:rsidR="00106FBA" w:rsidRPr="0070125D" w:rsidRDefault="00106FBA" w:rsidP="003E7FE3">
      <w:r>
        <w:t xml:space="preserve">Results were similar for the adjudication of </w:t>
      </w:r>
      <w:proofErr w:type="spellStart"/>
      <w:r>
        <w:t>hs-cTnI</w:t>
      </w:r>
      <w:proofErr w:type="spellEnd"/>
      <w:r>
        <w:t xml:space="preserve"> as for </w:t>
      </w:r>
      <w:proofErr w:type="spellStart"/>
      <w:r>
        <w:t>hs-cTnT</w:t>
      </w:r>
      <w:proofErr w:type="spellEnd"/>
      <w:r>
        <w:t xml:space="preserve"> in the APACE cohort, with mortality in patients with </w:t>
      </w:r>
      <w:r w:rsidR="001E7C94">
        <w:t>UA</w:t>
      </w:r>
      <w:r>
        <w:t xml:space="preserve"> (3.3%, 95% CI 1.4-5.1) being significantly lower than in patients with NSTEMI (10.0%, 7.5-12.3, p&lt;0.001), while </w:t>
      </w:r>
      <w:r w:rsidR="00AA2D68">
        <w:t xml:space="preserve">future non-fatal </w:t>
      </w:r>
      <w:proofErr w:type="spellStart"/>
      <w:r w:rsidR="00AA2D68">
        <w:t>myocardial</w:t>
      </w:r>
      <w:r>
        <w:t>infarction</w:t>
      </w:r>
      <w:proofErr w:type="spellEnd"/>
      <w:r>
        <w:t xml:space="preserve"> </w:t>
      </w:r>
      <w:r w:rsidR="001E7C94">
        <w:t>did not statistically differ</w:t>
      </w:r>
      <w:r>
        <w:t xml:space="preserve"> in </w:t>
      </w:r>
      <w:r w:rsidR="001E7C94">
        <w:t>UA</w:t>
      </w:r>
      <w:r>
        <w:t xml:space="preserve"> (10.3%, 7.1-13.4) vs NSTEMI (8.8%, 6.5-11.1, p=0.411</w:t>
      </w:r>
      <w:r w:rsidR="00DF5301">
        <w:t xml:space="preserve">, </w:t>
      </w:r>
      <w:proofErr w:type="spellStart"/>
      <w:r w:rsidR="00DF5301">
        <w:t>eFigure</w:t>
      </w:r>
      <w:proofErr w:type="spellEnd"/>
      <w:r w:rsidR="00DF5301">
        <w:t xml:space="preserve"> 2</w:t>
      </w:r>
      <w:r>
        <w:t>)</w:t>
      </w:r>
      <w:r w:rsidR="00DF5301">
        <w:t xml:space="preserve">. </w:t>
      </w:r>
    </w:p>
    <w:p w14:paraId="462D60F0" w14:textId="77290D1A" w:rsidR="00032331" w:rsidRDefault="000D5DC2" w:rsidP="00032331">
      <w:pPr>
        <w:sectPr w:rsidR="00032331" w:rsidSect="00351BA6">
          <w:footerReference w:type="even" r:id="rId8"/>
          <w:footerReference w:type="default" r:id="rId9"/>
          <w:pgSz w:w="11901" w:h="16840"/>
          <w:pgMar w:top="1417" w:right="1417" w:bottom="1134" w:left="1417" w:header="709" w:footer="709" w:gutter="0"/>
          <w:cols w:space="708"/>
          <w:docGrid w:linePitch="360"/>
        </w:sectPr>
      </w:pPr>
      <w:r w:rsidRPr="00630A82">
        <w:t>.</w:t>
      </w:r>
      <w:r w:rsidR="0061390F" w:rsidRPr="00630A82">
        <w:br w:type="page"/>
      </w:r>
    </w:p>
    <w:p w14:paraId="50334CFF" w14:textId="77777777" w:rsidR="00032331" w:rsidRDefault="00032331" w:rsidP="00032331">
      <w:pPr>
        <w:pStyle w:val="berschrift1"/>
      </w:pPr>
      <w:r>
        <w:lastRenderedPageBreak/>
        <w:t>Supplemental Tables</w:t>
      </w:r>
    </w:p>
    <w:p w14:paraId="786B06C7" w14:textId="4C33CF42" w:rsidR="00241D39" w:rsidRDefault="00D04302">
      <w:pPr>
        <w:spacing w:after="0" w:line="240" w:lineRule="auto"/>
        <w:jc w:val="left"/>
        <w:rPr>
          <w:rFonts w:cs="Arial"/>
          <w:b/>
          <w:szCs w:val="24"/>
          <w:u w:val="single"/>
        </w:rPr>
      </w:pPr>
      <w:proofErr w:type="spellStart"/>
      <w:r>
        <w:rPr>
          <w:rFonts w:cs="Arial"/>
          <w:b/>
          <w:szCs w:val="24"/>
          <w:u w:val="single"/>
        </w:rPr>
        <w:t>e</w:t>
      </w:r>
      <w:r w:rsidR="00317E7A">
        <w:rPr>
          <w:rFonts w:cs="Arial"/>
          <w:b/>
          <w:szCs w:val="24"/>
          <w:u w:val="single"/>
        </w:rPr>
        <w:t>Table</w:t>
      </w:r>
      <w:proofErr w:type="spellEnd"/>
      <w:r w:rsidR="00241D39">
        <w:rPr>
          <w:rFonts w:cs="Arial"/>
          <w:b/>
          <w:szCs w:val="24"/>
          <w:u w:val="single"/>
        </w:rPr>
        <w:t xml:space="preserve"> 1 </w:t>
      </w:r>
      <w:r w:rsidR="00241D39" w:rsidRPr="00241D39">
        <w:rPr>
          <w:rFonts w:cs="Arial"/>
          <w:szCs w:val="24"/>
        </w:rPr>
        <w:t>Baseline characteristics of patients with unstable angina</w:t>
      </w:r>
      <w:r w:rsidR="00A36A3B">
        <w:rPr>
          <w:rFonts w:cs="Arial"/>
          <w:szCs w:val="24"/>
        </w:rPr>
        <w:t xml:space="preserve"> according to the presence or absence of troponin elevation</w:t>
      </w:r>
      <w:r w:rsidR="00253A45">
        <w:rPr>
          <w:rFonts w:cs="Arial"/>
          <w:szCs w:val="24"/>
        </w:rPr>
        <w:t>s above the 99</w:t>
      </w:r>
      <w:r w:rsidR="00253A45" w:rsidRPr="00924D72">
        <w:rPr>
          <w:rFonts w:cs="Arial"/>
          <w:szCs w:val="24"/>
          <w:vertAlign w:val="superscript"/>
        </w:rPr>
        <w:t>th</w:t>
      </w:r>
      <w:r w:rsidR="00253A45">
        <w:rPr>
          <w:rFonts w:cs="Arial"/>
          <w:szCs w:val="24"/>
        </w:rPr>
        <w:t xml:space="preserve"> percentile</w:t>
      </w:r>
    </w:p>
    <w:tbl>
      <w:tblPr>
        <w:tblW w:w="15081" w:type="dxa"/>
        <w:tblInd w:w="55" w:type="dxa"/>
        <w:tblCellMar>
          <w:left w:w="70" w:type="dxa"/>
          <w:right w:w="70" w:type="dxa"/>
        </w:tblCellMar>
        <w:tblLook w:val="04A0" w:firstRow="1" w:lastRow="0" w:firstColumn="1" w:lastColumn="0" w:noHBand="0" w:noVBand="1"/>
      </w:tblPr>
      <w:tblGrid>
        <w:gridCol w:w="4480"/>
        <w:gridCol w:w="2760"/>
        <w:gridCol w:w="2760"/>
        <w:gridCol w:w="2760"/>
        <w:gridCol w:w="2321"/>
      </w:tblGrid>
      <w:tr w:rsidR="00BB6580" w:rsidRPr="00241D39" w14:paraId="6FE8D3E8" w14:textId="02370713" w:rsidTr="00106FBA">
        <w:trPr>
          <w:trHeight w:val="525"/>
        </w:trPr>
        <w:tc>
          <w:tcPr>
            <w:tcW w:w="4480" w:type="dxa"/>
            <w:vMerge w:val="restart"/>
            <w:tcBorders>
              <w:top w:val="nil"/>
              <w:left w:val="nil"/>
              <w:bottom w:val="single" w:sz="8" w:space="0" w:color="000000"/>
              <w:right w:val="single" w:sz="8" w:space="0" w:color="auto"/>
            </w:tcBorders>
            <w:shd w:val="clear" w:color="auto" w:fill="auto"/>
            <w:noWrap/>
            <w:vAlign w:val="bottom"/>
            <w:hideMark/>
          </w:tcPr>
          <w:p w14:paraId="170FE5C3" w14:textId="77777777" w:rsidR="00BB6580" w:rsidRPr="00241D39" w:rsidRDefault="00BB6580" w:rsidP="00241D39">
            <w:pPr>
              <w:spacing w:after="0" w:line="240" w:lineRule="auto"/>
              <w:jc w:val="center"/>
              <w:rPr>
                <w:rFonts w:eastAsia="Times New Roman" w:cs="Times New Roman"/>
                <w:color w:val="000000"/>
                <w:sz w:val="22"/>
                <w:lang w:eastAsia="de-CH"/>
              </w:rPr>
            </w:pPr>
            <w:r w:rsidRPr="00241D39">
              <w:rPr>
                <w:rFonts w:eastAsia="Times New Roman" w:cs="Times New Roman"/>
                <w:color w:val="000000"/>
                <w:sz w:val="22"/>
                <w:lang w:eastAsia="de-CH"/>
              </w:rPr>
              <w:t> </w:t>
            </w:r>
          </w:p>
        </w:tc>
        <w:tc>
          <w:tcPr>
            <w:tcW w:w="5520" w:type="dxa"/>
            <w:gridSpan w:val="2"/>
            <w:tcBorders>
              <w:top w:val="nil"/>
              <w:left w:val="nil"/>
              <w:bottom w:val="single" w:sz="8" w:space="0" w:color="auto"/>
              <w:right w:val="single" w:sz="8" w:space="0" w:color="000000"/>
            </w:tcBorders>
            <w:shd w:val="clear" w:color="auto" w:fill="auto"/>
            <w:vAlign w:val="center"/>
            <w:hideMark/>
          </w:tcPr>
          <w:p w14:paraId="57EE391D" w14:textId="77777777" w:rsidR="00BB6580" w:rsidRPr="00241D39" w:rsidRDefault="00BB6580" w:rsidP="00241D39">
            <w:pPr>
              <w:spacing w:after="0" w:line="240" w:lineRule="auto"/>
              <w:jc w:val="center"/>
              <w:rPr>
                <w:rFonts w:eastAsia="Times New Roman" w:cs="Times New Roman"/>
                <w:b/>
                <w:bCs/>
                <w:color w:val="000000"/>
                <w:szCs w:val="24"/>
                <w:lang w:val="de-CH" w:eastAsia="de-CH"/>
              </w:rPr>
            </w:pPr>
            <w:r w:rsidRPr="00241D39">
              <w:rPr>
                <w:rFonts w:eastAsia="Times New Roman" w:cs="Times New Roman"/>
                <w:b/>
                <w:bCs/>
                <w:color w:val="000000"/>
                <w:szCs w:val="24"/>
                <w:lang w:val="de-CH" w:eastAsia="de-CH"/>
              </w:rPr>
              <w:t>APACE</w:t>
            </w:r>
          </w:p>
        </w:tc>
        <w:tc>
          <w:tcPr>
            <w:tcW w:w="5081" w:type="dxa"/>
            <w:gridSpan w:val="2"/>
            <w:tcBorders>
              <w:top w:val="nil"/>
              <w:left w:val="nil"/>
              <w:bottom w:val="single" w:sz="8" w:space="0" w:color="auto"/>
              <w:right w:val="nil"/>
            </w:tcBorders>
            <w:shd w:val="clear" w:color="auto" w:fill="auto"/>
            <w:vAlign w:val="center"/>
            <w:hideMark/>
          </w:tcPr>
          <w:p w14:paraId="14170F5D" w14:textId="508F4BA3" w:rsidR="00BB6580" w:rsidRDefault="00BB6580" w:rsidP="00241D39">
            <w:pPr>
              <w:spacing w:after="0" w:line="240" w:lineRule="auto"/>
              <w:jc w:val="center"/>
              <w:rPr>
                <w:rFonts w:eastAsia="Times New Roman" w:cs="Times New Roman"/>
                <w:b/>
                <w:bCs/>
                <w:color w:val="000000"/>
                <w:szCs w:val="24"/>
                <w:lang w:val="de-CH" w:eastAsia="de-CH"/>
              </w:rPr>
            </w:pPr>
            <w:r>
              <w:rPr>
                <w:rFonts w:eastAsia="Times New Roman" w:cs="Times New Roman"/>
                <w:b/>
                <w:bCs/>
                <w:color w:val="000000"/>
                <w:szCs w:val="24"/>
                <w:lang w:val="de-CH" w:eastAsia="de-CH"/>
              </w:rPr>
              <w:t>High-STEACS</w:t>
            </w:r>
          </w:p>
        </w:tc>
      </w:tr>
      <w:tr w:rsidR="00BB6580" w:rsidRPr="00241D39" w14:paraId="78087EB9" w14:textId="53B523C0" w:rsidTr="003E7FE3">
        <w:trPr>
          <w:trHeight w:val="1065"/>
        </w:trPr>
        <w:tc>
          <w:tcPr>
            <w:tcW w:w="4480" w:type="dxa"/>
            <w:vMerge/>
            <w:tcBorders>
              <w:top w:val="nil"/>
              <w:left w:val="nil"/>
              <w:bottom w:val="single" w:sz="8" w:space="0" w:color="000000"/>
              <w:right w:val="single" w:sz="8" w:space="0" w:color="auto"/>
            </w:tcBorders>
            <w:vAlign w:val="center"/>
            <w:hideMark/>
          </w:tcPr>
          <w:p w14:paraId="52165168" w14:textId="77777777" w:rsidR="00BB6580" w:rsidRPr="00241D39" w:rsidRDefault="00BB6580" w:rsidP="00241D39">
            <w:pPr>
              <w:spacing w:after="0" w:line="240" w:lineRule="auto"/>
              <w:jc w:val="left"/>
              <w:rPr>
                <w:rFonts w:eastAsia="Times New Roman" w:cs="Times New Roman"/>
                <w:color w:val="000000"/>
                <w:sz w:val="22"/>
                <w:lang w:val="de-CH" w:eastAsia="de-CH"/>
              </w:rPr>
            </w:pPr>
          </w:p>
        </w:tc>
        <w:tc>
          <w:tcPr>
            <w:tcW w:w="2760" w:type="dxa"/>
            <w:tcBorders>
              <w:top w:val="nil"/>
              <w:left w:val="nil"/>
              <w:bottom w:val="single" w:sz="8" w:space="0" w:color="auto"/>
              <w:right w:val="nil"/>
            </w:tcBorders>
            <w:shd w:val="clear" w:color="auto" w:fill="auto"/>
            <w:vAlign w:val="center"/>
            <w:hideMark/>
          </w:tcPr>
          <w:p w14:paraId="3D3DF2CD" w14:textId="77777777" w:rsidR="00BB6580" w:rsidRPr="00241D39" w:rsidRDefault="00BB6580" w:rsidP="00241D39">
            <w:pPr>
              <w:spacing w:after="0" w:line="240" w:lineRule="auto"/>
              <w:jc w:val="center"/>
              <w:rPr>
                <w:rFonts w:eastAsia="Times New Roman" w:cs="Times New Roman"/>
                <w:b/>
                <w:bCs/>
                <w:color w:val="000000"/>
                <w:szCs w:val="24"/>
                <w:lang w:eastAsia="de-CH"/>
              </w:rPr>
            </w:pPr>
            <w:r w:rsidRPr="00241D39">
              <w:rPr>
                <w:rFonts w:eastAsia="Times New Roman" w:cs="Times New Roman"/>
                <w:b/>
                <w:bCs/>
                <w:color w:val="000000"/>
                <w:szCs w:val="24"/>
                <w:lang w:eastAsia="de-CH"/>
              </w:rPr>
              <w:t xml:space="preserve">Unstable angina </w:t>
            </w:r>
            <w:r w:rsidRPr="00241D39">
              <w:rPr>
                <w:rFonts w:eastAsia="Times New Roman" w:cs="Times New Roman"/>
                <w:b/>
                <w:bCs/>
                <w:color w:val="000000"/>
                <w:szCs w:val="24"/>
                <w:lang w:eastAsia="de-CH"/>
              </w:rPr>
              <w:br/>
              <w:t>&lt;99th percentile</w:t>
            </w:r>
            <w:r w:rsidRPr="00241D39">
              <w:rPr>
                <w:rFonts w:eastAsia="Times New Roman" w:cs="Times New Roman"/>
                <w:b/>
                <w:bCs/>
                <w:color w:val="000000"/>
                <w:szCs w:val="24"/>
                <w:lang w:eastAsia="de-CH"/>
              </w:rPr>
              <w:br/>
              <w:t>n = 215</w:t>
            </w:r>
          </w:p>
        </w:tc>
        <w:tc>
          <w:tcPr>
            <w:tcW w:w="2760" w:type="dxa"/>
            <w:tcBorders>
              <w:top w:val="nil"/>
              <w:left w:val="nil"/>
              <w:bottom w:val="single" w:sz="8" w:space="0" w:color="auto"/>
              <w:right w:val="single" w:sz="8" w:space="0" w:color="auto"/>
            </w:tcBorders>
            <w:shd w:val="clear" w:color="auto" w:fill="auto"/>
            <w:vAlign w:val="center"/>
            <w:hideMark/>
          </w:tcPr>
          <w:p w14:paraId="0C986B28" w14:textId="77777777" w:rsidR="00BB6580" w:rsidRPr="00241D39" w:rsidRDefault="00BB6580" w:rsidP="00241D39">
            <w:pPr>
              <w:spacing w:after="0" w:line="240" w:lineRule="auto"/>
              <w:jc w:val="center"/>
              <w:rPr>
                <w:rFonts w:eastAsia="Times New Roman" w:cs="Times New Roman"/>
                <w:b/>
                <w:bCs/>
                <w:color w:val="000000"/>
                <w:szCs w:val="24"/>
                <w:lang w:eastAsia="de-CH"/>
              </w:rPr>
            </w:pPr>
            <w:r w:rsidRPr="00241D39">
              <w:rPr>
                <w:rFonts w:eastAsia="Times New Roman" w:cs="Times New Roman"/>
                <w:b/>
                <w:bCs/>
                <w:color w:val="000000"/>
                <w:szCs w:val="24"/>
                <w:lang w:eastAsia="de-CH"/>
              </w:rPr>
              <w:t xml:space="preserve">Unstable angina </w:t>
            </w:r>
            <w:r w:rsidRPr="00241D39">
              <w:rPr>
                <w:rFonts w:eastAsia="Times New Roman" w:cs="Times New Roman"/>
                <w:b/>
                <w:bCs/>
                <w:color w:val="000000"/>
                <w:szCs w:val="24"/>
                <w:lang w:eastAsia="de-CH"/>
              </w:rPr>
              <w:br/>
              <w:t>≥99th percentile</w:t>
            </w:r>
            <w:r w:rsidRPr="00241D39">
              <w:rPr>
                <w:rFonts w:eastAsia="Times New Roman" w:cs="Times New Roman"/>
                <w:b/>
                <w:bCs/>
                <w:color w:val="000000"/>
                <w:szCs w:val="24"/>
                <w:lang w:eastAsia="de-CH"/>
              </w:rPr>
              <w:br/>
              <w:t>n = 151</w:t>
            </w:r>
          </w:p>
        </w:tc>
        <w:tc>
          <w:tcPr>
            <w:tcW w:w="2760" w:type="dxa"/>
            <w:tcBorders>
              <w:top w:val="nil"/>
              <w:left w:val="nil"/>
              <w:bottom w:val="single" w:sz="8" w:space="0" w:color="auto"/>
              <w:right w:val="nil"/>
            </w:tcBorders>
            <w:shd w:val="clear" w:color="auto" w:fill="auto"/>
            <w:vAlign w:val="center"/>
            <w:hideMark/>
          </w:tcPr>
          <w:p w14:paraId="4E539859" w14:textId="77777777" w:rsidR="00BB6580" w:rsidRPr="00241D39" w:rsidRDefault="00BB6580" w:rsidP="00241D39">
            <w:pPr>
              <w:spacing w:after="0" w:line="240" w:lineRule="auto"/>
              <w:jc w:val="center"/>
              <w:rPr>
                <w:rFonts w:eastAsia="Times New Roman" w:cs="Times New Roman"/>
                <w:b/>
                <w:bCs/>
                <w:color w:val="000000"/>
                <w:szCs w:val="24"/>
                <w:lang w:eastAsia="de-CH"/>
              </w:rPr>
            </w:pPr>
            <w:r w:rsidRPr="00241D39">
              <w:rPr>
                <w:rFonts w:eastAsia="Times New Roman" w:cs="Times New Roman"/>
                <w:b/>
                <w:bCs/>
                <w:color w:val="000000"/>
                <w:szCs w:val="24"/>
                <w:lang w:eastAsia="de-CH"/>
              </w:rPr>
              <w:t xml:space="preserve">Unstable angina </w:t>
            </w:r>
            <w:r w:rsidRPr="00241D39">
              <w:rPr>
                <w:rFonts w:eastAsia="Times New Roman" w:cs="Times New Roman"/>
                <w:b/>
                <w:bCs/>
                <w:color w:val="000000"/>
                <w:szCs w:val="24"/>
                <w:lang w:eastAsia="de-CH"/>
              </w:rPr>
              <w:br/>
              <w:t>(all &lt;99th percentile)</w:t>
            </w:r>
            <w:r w:rsidRPr="00241D39">
              <w:rPr>
                <w:rFonts w:eastAsia="Times New Roman" w:cs="Times New Roman"/>
                <w:b/>
                <w:bCs/>
                <w:color w:val="000000"/>
                <w:szCs w:val="24"/>
                <w:lang w:eastAsia="de-CH"/>
              </w:rPr>
              <w:br/>
              <w:t>n = 137</w:t>
            </w:r>
          </w:p>
        </w:tc>
        <w:tc>
          <w:tcPr>
            <w:tcW w:w="2321" w:type="dxa"/>
            <w:tcBorders>
              <w:top w:val="nil"/>
              <w:left w:val="nil"/>
              <w:bottom w:val="single" w:sz="8" w:space="0" w:color="auto"/>
              <w:right w:val="nil"/>
            </w:tcBorders>
            <w:vAlign w:val="center"/>
          </w:tcPr>
          <w:p w14:paraId="672959BC" w14:textId="7B15A5DF" w:rsidR="00BB6580" w:rsidRPr="00BB6580" w:rsidRDefault="00BB6580" w:rsidP="00BB6580">
            <w:pPr>
              <w:spacing w:after="0" w:line="240" w:lineRule="auto"/>
              <w:jc w:val="center"/>
              <w:rPr>
                <w:rFonts w:eastAsia="Times New Roman" w:cs="Times New Roman"/>
                <w:b/>
                <w:bCs/>
                <w:color w:val="000000"/>
                <w:szCs w:val="24"/>
                <w:lang w:eastAsia="de-CH"/>
              </w:rPr>
            </w:pPr>
            <w:r w:rsidRPr="00BB6580">
              <w:rPr>
                <w:rFonts w:eastAsia="Times New Roman" w:cs="Times New Roman"/>
                <w:b/>
                <w:bCs/>
                <w:color w:val="000000"/>
                <w:szCs w:val="24"/>
                <w:lang w:eastAsia="de-CH"/>
              </w:rPr>
              <w:t xml:space="preserve">Unstable angina </w:t>
            </w:r>
            <w:r w:rsidRPr="00BB6580">
              <w:rPr>
                <w:rFonts w:eastAsia="Times New Roman" w:cs="Times New Roman"/>
                <w:b/>
                <w:bCs/>
                <w:color w:val="000000"/>
                <w:szCs w:val="24"/>
                <w:lang w:eastAsia="de-CH"/>
              </w:rPr>
              <w:br/>
              <w:t>≥99th percentile</w:t>
            </w:r>
            <w:r w:rsidRPr="00BB6580">
              <w:rPr>
                <w:rFonts w:eastAsia="Times New Roman" w:cs="Times New Roman"/>
                <w:b/>
                <w:bCs/>
                <w:color w:val="000000"/>
                <w:szCs w:val="24"/>
                <w:lang w:eastAsia="de-CH"/>
              </w:rPr>
              <w:br/>
              <w:t>n = 50</w:t>
            </w:r>
          </w:p>
        </w:tc>
      </w:tr>
      <w:tr w:rsidR="00BB6580" w:rsidRPr="00241D39" w14:paraId="355C1AAC" w14:textId="38646B19"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78F26ABA" w14:textId="77777777" w:rsidR="00BB6580" w:rsidRPr="00241D39" w:rsidRDefault="00BB6580" w:rsidP="00BB6580">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 xml:space="preserve">Age - </w:t>
            </w:r>
            <w:proofErr w:type="spellStart"/>
            <w:r w:rsidRPr="00241D39">
              <w:rPr>
                <w:rFonts w:eastAsia="Times New Roman" w:cs="Times New Roman"/>
                <w:color w:val="000000"/>
                <w:szCs w:val="24"/>
                <w:lang w:val="de-CH" w:eastAsia="de-CH"/>
              </w:rPr>
              <w:t>years</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06F55497"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64 [57, 73]</w:t>
            </w:r>
          </w:p>
        </w:tc>
        <w:tc>
          <w:tcPr>
            <w:tcW w:w="2760" w:type="dxa"/>
            <w:tcBorders>
              <w:top w:val="nil"/>
              <w:left w:val="nil"/>
              <w:bottom w:val="dotted" w:sz="4" w:space="0" w:color="auto"/>
              <w:right w:val="single" w:sz="8" w:space="0" w:color="auto"/>
            </w:tcBorders>
            <w:shd w:val="clear" w:color="auto" w:fill="auto"/>
            <w:noWrap/>
            <w:vAlign w:val="center"/>
            <w:hideMark/>
          </w:tcPr>
          <w:p w14:paraId="0CBAD171"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74 [66, 80]</w:t>
            </w:r>
          </w:p>
        </w:tc>
        <w:tc>
          <w:tcPr>
            <w:tcW w:w="2760" w:type="dxa"/>
            <w:tcBorders>
              <w:top w:val="nil"/>
              <w:left w:val="nil"/>
              <w:bottom w:val="dotted" w:sz="4" w:space="0" w:color="auto"/>
              <w:right w:val="nil"/>
            </w:tcBorders>
            <w:shd w:val="clear" w:color="auto" w:fill="auto"/>
            <w:noWrap/>
            <w:vAlign w:val="center"/>
            <w:hideMark/>
          </w:tcPr>
          <w:p w14:paraId="76019272"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72 [63, 79]</w:t>
            </w:r>
          </w:p>
        </w:tc>
        <w:tc>
          <w:tcPr>
            <w:tcW w:w="2321" w:type="dxa"/>
            <w:tcBorders>
              <w:top w:val="nil"/>
              <w:left w:val="nil"/>
              <w:bottom w:val="dotted" w:sz="4" w:space="0" w:color="auto"/>
              <w:right w:val="nil"/>
            </w:tcBorders>
            <w:vAlign w:val="center"/>
          </w:tcPr>
          <w:p w14:paraId="7F6D63D6" w14:textId="21AAB118"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74.00 (14.71)</w:t>
            </w:r>
          </w:p>
        </w:tc>
      </w:tr>
      <w:tr w:rsidR="00BB6580" w:rsidRPr="00241D39" w14:paraId="6287B9B1" w14:textId="229C0D11"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29780AAF" w14:textId="77777777" w:rsidR="00BB6580" w:rsidRPr="00241D39" w:rsidRDefault="00BB6580" w:rsidP="00BB6580">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Sex - male</w:t>
            </w:r>
          </w:p>
        </w:tc>
        <w:tc>
          <w:tcPr>
            <w:tcW w:w="2760" w:type="dxa"/>
            <w:tcBorders>
              <w:top w:val="nil"/>
              <w:left w:val="nil"/>
              <w:bottom w:val="dotted" w:sz="4" w:space="0" w:color="auto"/>
              <w:right w:val="dotted" w:sz="4" w:space="0" w:color="auto"/>
            </w:tcBorders>
            <w:shd w:val="clear" w:color="auto" w:fill="auto"/>
            <w:noWrap/>
            <w:vAlign w:val="center"/>
            <w:hideMark/>
          </w:tcPr>
          <w:p w14:paraId="7D3E9903"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175 (81.4)</w:t>
            </w:r>
          </w:p>
        </w:tc>
        <w:tc>
          <w:tcPr>
            <w:tcW w:w="2760" w:type="dxa"/>
            <w:tcBorders>
              <w:top w:val="nil"/>
              <w:left w:val="nil"/>
              <w:bottom w:val="dotted" w:sz="4" w:space="0" w:color="auto"/>
              <w:right w:val="single" w:sz="8" w:space="0" w:color="auto"/>
            </w:tcBorders>
            <w:shd w:val="clear" w:color="auto" w:fill="auto"/>
            <w:noWrap/>
            <w:vAlign w:val="center"/>
            <w:hideMark/>
          </w:tcPr>
          <w:p w14:paraId="65810631"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123 (81.5)</w:t>
            </w:r>
          </w:p>
        </w:tc>
        <w:tc>
          <w:tcPr>
            <w:tcW w:w="2760" w:type="dxa"/>
            <w:tcBorders>
              <w:top w:val="nil"/>
              <w:left w:val="nil"/>
              <w:bottom w:val="dotted" w:sz="4" w:space="0" w:color="auto"/>
              <w:right w:val="nil"/>
            </w:tcBorders>
            <w:shd w:val="clear" w:color="auto" w:fill="auto"/>
            <w:noWrap/>
            <w:vAlign w:val="center"/>
            <w:hideMark/>
          </w:tcPr>
          <w:p w14:paraId="21D77A9E"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89 (65.0)</w:t>
            </w:r>
          </w:p>
        </w:tc>
        <w:tc>
          <w:tcPr>
            <w:tcW w:w="2321" w:type="dxa"/>
            <w:tcBorders>
              <w:top w:val="nil"/>
              <w:left w:val="nil"/>
              <w:bottom w:val="dotted" w:sz="4" w:space="0" w:color="auto"/>
              <w:right w:val="nil"/>
            </w:tcBorders>
            <w:vAlign w:val="center"/>
          </w:tcPr>
          <w:p w14:paraId="57AE169F" w14:textId="2C58B67E"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14 (28.0)</w:t>
            </w:r>
          </w:p>
        </w:tc>
      </w:tr>
      <w:tr w:rsidR="00BB6580" w:rsidRPr="00241D39" w14:paraId="6CF2D6DD" w14:textId="4CA6BC9C"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0BEBA148" w14:textId="77777777" w:rsidR="00BB6580" w:rsidRPr="00241D39" w:rsidRDefault="00BB6580" w:rsidP="00241D39">
            <w:pPr>
              <w:spacing w:after="0" w:line="240" w:lineRule="auto"/>
              <w:jc w:val="left"/>
              <w:rPr>
                <w:rFonts w:eastAsia="Times New Roman" w:cs="Times New Roman"/>
                <w:b/>
                <w:bCs/>
                <w:color w:val="000000"/>
                <w:szCs w:val="24"/>
                <w:lang w:val="de-CH" w:eastAsia="de-CH"/>
              </w:rPr>
            </w:pPr>
            <w:r w:rsidRPr="00241D39">
              <w:rPr>
                <w:rFonts w:eastAsia="Times New Roman" w:cs="Times New Roman"/>
                <w:b/>
                <w:bCs/>
                <w:color w:val="000000"/>
                <w:szCs w:val="24"/>
                <w:lang w:val="de-CH" w:eastAsia="de-CH"/>
              </w:rPr>
              <w:t xml:space="preserve">Risk </w:t>
            </w:r>
            <w:proofErr w:type="spellStart"/>
            <w:r w:rsidRPr="00241D39">
              <w:rPr>
                <w:rFonts w:eastAsia="Times New Roman" w:cs="Times New Roman"/>
                <w:b/>
                <w:bCs/>
                <w:color w:val="000000"/>
                <w:szCs w:val="24"/>
                <w:lang w:val="de-CH" w:eastAsia="de-CH"/>
              </w:rPr>
              <w:t>factors</w:t>
            </w:r>
            <w:proofErr w:type="spellEnd"/>
          </w:p>
        </w:tc>
        <w:tc>
          <w:tcPr>
            <w:tcW w:w="2760" w:type="dxa"/>
            <w:tcBorders>
              <w:top w:val="nil"/>
              <w:left w:val="nil"/>
              <w:bottom w:val="dotted" w:sz="4" w:space="0" w:color="auto"/>
              <w:right w:val="nil"/>
            </w:tcBorders>
            <w:shd w:val="clear" w:color="auto" w:fill="auto"/>
            <w:noWrap/>
            <w:vAlign w:val="center"/>
            <w:hideMark/>
          </w:tcPr>
          <w:p w14:paraId="699702CC"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760" w:type="dxa"/>
            <w:tcBorders>
              <w:top w:val="nil"/>
              <w:left w:val="nil"/>
              <w:bottom w:val="dotted" w:sz="4" w:space="0" w:color="auto"/>
              <w:right w:val="single" w:sz="8" w:space="0" w:color="auto"/>
            </w:tcBorders>
            <w:shd w:val="clear" w:color="auto" w:fill="auto"/>
            <w:noWrap/>
            <w:vAlign w:val="center"/>
            <w:hideMark/>
          </w:tcPr>
          <w:p w14:paraId="61533C6D"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760" w:type="dxa"/>
            <w:tcBorders>
              <w:top w:val="nil"/>
              <w:left w:val="nil"/>
              <w:bottom w:val="dotted" w:sz="4" w:space="0" w:color="auto"/>
              <w:right w:val="nil"/>
            </w:tcBorders>
            <w:shd w:val="clear" w:color="auto" w:fill="auto"/>
            <w:noWrap/>
            <w:vAlign w:val="center"/>
            <w:hideMark/>
          </w:tcPr>
          <w:p w14:paraId="51420627"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321" w:type="dxa"/>
            <w:tcBorders>
              <w:top w:val="nil"/>
              <w:left w:val="nil"/>
              <w:bottom w:val="dotted" w:sz="4" w:space="0" w:color="auto"/>
              <w:right w:val="nil"/>
            </w:tcBorders>
            <w:vAlign w:val="center"/>
          </w:tcPr>
          <w:p w14:paraId="339E8743" w14:textId="77777777" w:rsidR="00BB6580" w:rsidRPr="00BB6580" w:rsidRDefault="00BB6580" w:rsidP="00BB6580">
            <w:pPr>
              <w:spacing w:after="0" w:line="240" w:lineRule="auto"/>
              <w:jc w:val="center"/>
              <w:rPr>
                <w:rFonts w:eastAsia="Times New Roman" w:cs="Times New Roman"/>
                <w:color w:val="000000"/>
                <w:szCs w:val="24"/>
                <w:lang w:val="de-CH" w:eastAsia="de-CH"/>
              </w:rPr>
            </w:pPr>
          </w:p>
        </w:tc>
      </w:tr>
      <w:tr w:rsidR="00BB6580" w:rsidRPr="00241D39" w14:paraId="5956EC45" w14:textId="63B7DFF7"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3B29CE2D" w14:textId="77777777" w:rsidR="00BB6580" w:rsidRPr="00241D39" w:rsidRDefault="00BB6580" w:rsidP="00BB6580">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Hypertension</w:t>
            </w:r>
          </w:p>
        </w:tc>
        <w:tc>
          <w:tcPr>
            <w:tcW w:w="2760" w:type="dxa"/>
            <w:tcBorders>
              <w:top w:val="nil"/>
              <w:left w:val="nil"/>
              <w:bottom w:val="dotted" w:sz="4" w:space="0" w:color="auto"/>
              <w:right w:val="dotted" w:sz="4" w:space="0" w:color="auto"/>
            </w:tcBorders>
            <w:shd w:val="clear" w:color="auto" w:fill="auto"/>
            <w:noWrap/>
            <w:vAlign w:val="center"/>
            <w:hideMark/>
          </w:tcPr>
          <w:p w14:paraId="4DD771C8"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190 (88.4)</w:t>
            </w:r>
          </w:p>
        </w:tc>
        <w:tc>
          <w:tcPr>
            <w:tcW w:w="2760" w:type="dxa"/>
            <w:tcBorders>
              <w:top w:val="nil"/>
              <w:left w:val="nil"/>
              <w:bottom w:val="dotted" w:sz="4" w:space="0" w:color="auto"/>
              <w:right w:val="single" w:sz="8" w:space="0" w:color="auto"/>
            </w:tcBorders>
            <w:shd w:val="clear" w:color="auto" w:fill="auto"/>
            <w:noWrap/>
            <w:vAlign w:val="center"/>
            <w:hideMark/>
          </w:tcPr>
          <w:p w14:paraId="5D34F2E6"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142 (94)</w:t>
            </w:r>
          </w:p>
        </w:tc>
        <w:tc>
          <w:tcPr>
            <w:tcW w:w="2760" w:type="dxa"/>
            <w:tcBorders>
              <w:top w:val="nil"/>
              <w:left w:val="nil"/>
              <w:bottom w:val="dotted" w:sz="4" w:space="0" w:color="auto"/>
              <w:right w:val="nil"/>
            </w:tcBorders>
            <w:shd w:val="clear" w:color="auto" w:fill="auto"/>
            <w:noWrap/>
            <w:vAlign w:val="center"/>
            <w:hideMark/>
          </w:tcPr>
          <w:p w14:paraId="53575B50"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61 (47.7)</w:t>
            </w:r>
          </w:p>
        </w:tc>
        <w:tc>
          <w:tcPr>
            <w:tcW w:w="2321" w:type="dxa"/>
            <w:tcBorders>
              <w:top w:val="nil"/>
              <w:left w:val="nil"/>
              <w:bottom w:val="dotted" w:sz="4" w:space="0" w:color="auto"/>
              <w:right w:val="nil"/>
            </w:tcBorders>
            <w:vAlign w:val="center"/>
          </w:tcPr>
          <w:p w14:paraId="201803A3" w14:textId="625DD245"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22 (45.8)</w:t>
            </w:r>
          </w:p>
        </w:tc>
      </w:tr>
      <w:tr w:rsidR="00BB6580" w:rsidRPr="00241D39" w14:paraId="579AA6E8" w14:textId="5450562F"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76B2F598" w14:textId="77777777" w:rsidR="00BB6580" w:rsidRPr="00241D39" w:rsidRDefault="00BB6580" w:rsidP="00BB6580">
            <w:pPr>
              <w:spacing w:after="0" w:line="240" w:lineRule="auto"/>
              <w:jc w:val="left"/>
              <w:rPr>
                <w:rFonts w:eastAsia="Times New Roman" w:cs="Times New Roman"/>
                <w:color w:val="000000"/>
                <w:szCs w:val="24"/>
                <w:lang w:val="de-CH" w:eastAsia="de-CH"/>
              </w:rPr>
            </w:pPr>
            <w:proofErr w:type="spellStart"/>
            <w:r w:rsidRPr="00241D39">
              <w:rPr>
                <w:rFonts w:eastAsia="Times New Roman" w:cs="Times New Roman"/>
                <w:color w:val="000000"/>
                <w:szCs w:val="24"/>
                <w:lang w:val="de-CH" w:eastAsia="de-CH"/>
              </w:rPr>
              <w:t>Hypercholesterolemia</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4A84C2F3"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181 (84.2)</w:t>
            </w:r>
          </w:p>
        </w:tc>
        <w:tc>
          <w:tcPr>
            <w:tcW w:w="2760" w:type="dxa"/>
            <w:tcBorders>
              <w:top w:val="nil"/>
              <w:left w:val="nil"/>
              <w:bottom w:val="dotted" w:sz="4" w:space="0" w:color="auto"/>
              <w:right w:val="single" w:sz="8" w:space="0" w:color="auto"/>
            </w:tcBorders>
            <w:shd w:val="clear" w:color="auto" w:fill="auto"/>
            <w:noWrap/>
            <w:vAlign w:val="center"/>
            <w:hideMark/>
          </w:tcPr>
          <w:p w14:paraId="6237D258"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119 (78.8)</w:t>
            </w:r>
          </w:p>
        </w:tc>
        <w:tc>
          <w:tcPr>
            <w:tcW w:w="2760" w:type="dxa"/>
            <w:tcBorders>
              <w:top w:val="nil"/>
              <w:left w:val="nil"/>
              <w:bottom w:val="dotted" w:sz="4" w:space="0" w:color="auto"/>
              <w:right w:val="nil"/>
            </w:tcBorders>
            <w:shd w:val="clear" w:color="auto" w:fill="auto"/>
            <w:noWrap/>
            <w:vAlign w:val="center"/>
            <w:hideMark/>
          </w:tcPr>
          <w:p w14:paraId="128D73A8"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65 (50.8)</w:t>
            </w:r>
          </w:p>
        </w:tc>
        <w:tc>
          <w:tcPr>
            <w:tcW w:w="2321" w:type="dxa"/>
            <w:tcBorders>
              <w:top w:val="nil"/>
              <w:left w:val="nil"/>
              <w:bottom w:val="dotted" w:sz="4" w:space="0" w:color="auto"/>
              <w:right w:val="nil"/>
            </w:tcBorders>
            <w:vAlign w:val="center"/>
          </w:tcPr>
          <w:p w14:paraId="29073E57" w14:textId="44587A62"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15 (31.2)</w:t>
            </w:r>
          </w:p>
        </w:tc>
      </w:tr>
      <w:tr w:rsidR="00BB6580" w:rsidRPr="00241D39" w14:paraId="23B6692F" w14:textId="15EF4D59"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6301F8EE" w14:textId="77777777" w:rsidR="00BB6580" w:rsidRPr="00241D39" w:rsidRDefault="00BB6580" w:rsidP="00241D39">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BMI - kg/m2</w:t>
            </w:r>
          </w:p>
        </w:tc>
        <w:tc>
          <w:tcPr>
            <w:tcW w:w="2760" w:type="dxa"/>
            <w:tcBorders>
              <w:top w:val="nil"/>
              <w:left w:val="nil"/>
              <w:bottom w:val="dotted" w:sz="4" w:space="0" w:color="auto"/>
              <w:right w:val="dotted" w:sz="4" w:space="0" w:color="auto"/>
            </w:tcBorders>
            <w:shd w:val="clear" w:color="auto" w:fill="auto"/>
            <w:noWrap/>
            <w:vAlign w:val="center"/>
            <w:hideMark/>
          </w:tcPr>
          <w:p w14:paraId="5DB7BCD1"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27 [24, 30]</w:t>
            </w:r>
          </w:p>
        </w:tc>
        <w:tc>
          <w:tcPr>
            <w:tcW w:w="2760" w:type="dxa"/>
            <w:tcBorders>
              <w:top w:val="nil"/>
              <w:left w:val="nil"/>
              <w:bottom w:val="dotted" w:sz="4" w:space="0" w:color="auto"/>
              <w:right w:val="single" w:sz="8" w:space="0" w:color="auto"/>
            </w:tcBorders>
            <w:shd w:val="clear" w:color="auto" w:fill="auto"/>
            <w:noWrap/>
            <w:vAlign w:val="center"/>
            <w:hideMark/>
          </w:tcPr>
          <w:p w14:paraId="6CD38F84"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27 [24, 30]</w:t>
            </w:r>
          </w:p>
        </w:tc>
        <w:tc>
          <w:tcPr>
            <w:tcW w:w="2760" w:type="dxa"/>
            <w:tcBorders>
              <w:top w:val="nil"/>
              <w:left w:val="nil"/>
              <w:bottom w:val="dotted" w:sz="4" w:space="0" w:color="auto"/>
              <w:right w:val="nil"/>
            </w:tcBorders>
            <w:shd w:val="clear" w:color="auto" w:fill="auto"/>
            <w:noWrap/>
            <w:vAlign w:val="center"/>
            <w:hideMark/>
          </w:tcPr>
          <w:p w14:paraId="0B35A2E2"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321" w:type="dxa"/>
            <w:tcBorders>
              <w:top w:val="nil"/>
              <w:left w:val="nil"/>
              <w:bottom w:val="dotted" w:sz="4" w:space="0" w:color="auto"/>
              <w:right w:val="nil"/>
            </w:tcBorders>
            <w:vAlign w:val="center"/>
          </w:tcPr>
          <w:p w14:paraId="18771C96" w14:textId="77777777" w:rsidR="00BB6580" w:rsidRPr="00BB6580" w:rsidRDefault="00BB6580" w:rsidP="00BB6580">
            <w:pPr>
              <w:spacing w:after="0" w:line="240" w:lineRule="auto"/>
              <w:jc w:val="center"/>
              <w:rPr>
                <w:rFonts w:eastAsia="Times New Roman" w:cs="Times New Roman"/>
                <w:color w:val="000000"/>
                <w:szCs w:val="24"/>
                <w:lang w:val="de-CH" w:eastAsia="de-CH"/>
              </w:rPr>
            </w:pPr>
          </w:p>
        </w:tc>
      </w:tr>
      <w:tr w:rsidR="00BB6580" w:rsidRPr="00241D39" w14:paraId="0A0DE005" w14:textId="2C906462"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27EDE294" w14:textId="77777777" w:rsidR="00BB6580" w:rsidRPr="00241D39" w:rsidRDefault="00BB6580" w:rsidP="00241D39">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Diabetes mellitus</w:t>
            </w:r>
          </w:p>
        </w:tc>
        <w:tc>
          <w:tcPr>
            <w:tcW w:w="2760" w:type="dxa"/>
            <w:tcBorders>
              <w:top w:val="nil"/>
              <w:left w:val="nil"/>
              <w:bottom w:val="dotted" w:sz="4" w:space="0" w:color="auto"/>
              <w:right w:val="dotted" w:sz="4" w:space="0" w:color="auto"/>
            </w:tcBorders>
            <w:shd w:val="clear" w:color="auto" w:fill="auto"/>
            <w:noWrap/>
            <w:vAlign w:val="center"/>
            <w:hideMark/>
          </w:tcPr>
          <w:p w14:paraId="6C1A0B93"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57 (26.6)</w:t>
            </w:r>
          </w:p>
        </w:tc>
        <w:tc>
          <w:tcPr>
            <w:tcW w:w="2760" w:type="dxa"/>
            <w:tcBorders>
              <w:top w:val="nil"/>
              <w:left w:val="nil"/>
              <w:bottom w:val="dotted" w:sz="4" w:space="0" w:color="auto"/>
              <w:right w:val="single" w:sz="8" w:space="0" w:color="auto"/>
            </w:tcBorders>
            <w:shd w:val="clear" w:color="auto" w:fill="auto"/>
            <w:noWrap/>
            <w:vAlign w:val="center"/>
            <w:hideMark/>
          </w:tcPr>
          <w:p w14:paraId="3E3AEF01"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37 (24.5)</w:t>
            </w:r>
          </w:p>
        </w:tc>
        <w:tc>
          <w:tcPr>
            <w:tcW w:w="2760" w:type="dxa"/>
            <w:tcBorders>
              <w:top w:val="nil"/>
              <w:left w:val="nil"/>
              <w:bottom w:val="dotted" w:sz="4" w:space="0" w:color="auto"/>
              <w:right w:val="nil"/>
            </w:tcBorders>
            <w:shd w:val="clear" w:color="auto" w:fill="auto"/>
            <w:noWrap/>
            <w:vAlign w:val="center"/>
            <w:hideMark/>
          </w:tcPr>
          <w:p w14:paraId="75EFC2B7"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37 (28.9)</w:t>
            </w:r>
          </w:p>
        </w:tc>
        <w:tc>
          <w:tcPr>
            <w:tcW w:w="2321" w:type="dxa"/>
            <w:tcBorders>
              <w:top w:val="nil"/>
              <w:left w:val="nil"/>
              <w:bottom w:val="dotted" w:sz="4" w:space="0" w:color="auto"/>
              <w:right w:val="nil"/>
            </w:tcBorders>
            <w:vAlign w:val="center"/>
          </w:tcPr>
          <w:p w14:paraId="3A67DECA" w14:textId="115BC8DD" w:rsidR="00BB6580" w:rsidRPr="003E7FE3" w:rsidRDefault="00BB6580" w:rsidP="00BB6580">
            <w:pPr>
              <w:spacing w:after="0" w:line="240" w:lineRule="auto"/>
              <w:jc w:val="center"/>
              <w:rPr>
                <w:rFonts w:cs="Times New Roman"/>
                <w:color w:val="000000"/>
                <w:szCs w:val="24"/>
                <w:lang w:val="de-CH"/>
              </w:rPr>
            </w:pPr>
            <w:r w:rsidRPr="003E7FE3">
              <w:rPr>
                <w:rFonts w:cs="Times New Roman"/>
                <w:color w:val="000000"/>
                <w:szCs w:val="24"/>
              </w:rPr>
              <w:t>11 (22.9)</w:t>
            </w:r>
          </w:p>
        </w:tc>
      </w:tr>
      <w:tr w:rsidR="00BB6580" w:rsidRPr="00241D39" w14:paraId="7007C657" w14:textId="3DDAC765"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5157C4C1" w14:textId="77777777" w:rsidR="00BB6580" w:rsidRPr="00241D39" w:rsidRDefault="00BB6580" w:rsidP="00241D39">
            <w:pPr>
              <w:spacing w:after="0" w:line="240" w:lineRule="auto"/>
              <w:jc w:val="left"/>
              <w:rPr>
                <w:rFonts w:eastAsia="Times New Roman" w:cs="Times New Roman"/>
                <w:color w:val="000000"/>
                <w:szCs w:val="24"/>
                <w:lang w:val="de-CH" w:eastAsia="de-CH"/>
              </w:rPr>
            </w:pPr>
            <w:proofErr w:type="spellStart"/>
            <w:r w:rsidRPr="00241D39">
              <w:rPr>
                <w:rFonts w:eastAsia="Times New Roman" w:cs="Times New Roman"/>
                <w:color w:val="000000"/>
                <w:szCs w:val="24"/>
                <w:lang w:val="de-CH" w:eastAsia="de-CH"/>
              </w:rPr>
              <w:t>Active</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smoker</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2F240F02"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50 (23.3)</w:t>
            </w:r>
          </w:p>
        </w:tc>
        <w:tc>
          <w:tcPr>
            <w:tcW w:w="2760" w:type="dxa"/>
            <w:tcBorders>
              <w:top w:val="nil"/>
              <w:left w:val="nil"/>
              <w:bottom w:val="dotted" w:sz="4" w:space="0" w:color="auto"/>
              <w:right w:val="single" w:sz="8" w:space="0" w:color="auto"/>
            </w:tcBorders>
            <w:shd w:val="clear" w:color="auto" w:fill="auto"/>
            <w:noWrap/>
            <w:vAlign w:val="center"/>
            <w:hideMark/>
          </w:tcPr>
          <w:p w14:paraId="156092FA"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18 (11.9)</w:t>
            </w:r>
          </w:p>
        </w:tc>
        <w:tc>
          <w:tcPr>
            <w:tcW w:w="2760" w:type="dxa"/>
            <w:tcBorders>
              <w:top w:val="nil"/>
              <w:left w:val="nil"/>
              <w:bottom w:val="dotted" w:sz="4" w:space="0" w:color="auto"/>
              <w:right w:val="nil"/>
            </w:tcBorders>
            <w:shd w:val="clear" w:color="auto" w:fill="auto"/>
            <w:noWrap/>
            <w:vAlign w:val="center"/>
            <w:hideMark/>
          </w:tcPr>
          <w:p w14:paraId="34F32CBB"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29 (37.2)</w:t>
            </w:r>
          </w:p>
        </w:tc>
        <w:tc>
          <w:tcPr>
            <w:tcW w:w="2321" w:type="dxa"/>
            <w:tcBorders>
              <w:top w:val="nil"/>
              <w:left w:val="nil"/>
              <w:bottom w:val="dotted" w:sz="4" w:space="0" w:color="auto"/>
              <w:right w:val="nil"/>
            </w:tcBorders>
            <w:vAlign w:val="center"/>
          </w:tcPr>
          <w:p w14:paraId="0D2049A2" w14:textId="09356FCD"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8 (30.8)</w:t>
            </w:r>
          </w:p>
        </w:tc>
      </w:tr>
      <w:tr w:rsidR="00BB6580" w:rsidRPr="00241D39" w14:paraId="0CA37DF6" w14:textId="2AB57A75"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7550F196" w14:textId="77777777" w:rsidR="00BB6580" w:rsidRPr="00241D39" w:rsidRDefault="00BB6580" w:rsidP="00241D39">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 xml:space="preserve">Positive </w:t>
            </w:r>
            <w:proofErr w:type="spellStart"/>
            <w:r w:rsidRPr="00241D39">
              <w:rPr>
                <w:rFonts w:eastAsia="Times New Roman" w:cs="Times New Roman"/>
                <w:color w:val="000000"/>
                <w:szCs w:val="24"/>
                <w:lang w:val="de-CH" w:eastAsia="de-CH"/>
              </w:rPr>
              <w:t>family</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history</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3D50FC9B"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104 (50.5)</w:t>
            </w:r>
          </w:p>
        </w:tc>
        <w:tc>
          <w:tcPr>
            <w:tcW w:w="2760" w:type="dxa"/>
            <w:tcBorders>
              <w:top w:val="nil"/>
              <w:left w:val="nil"/>
              <w:bottom w:val="dotted" w:sz="4" w:space="0" w:color="auto"/>
              <w:right w:val="single" w:sz="8" w:space="0" w:color="auto"/>
            </w:tcBorders>
            <w:shd w:val="clear" w:color="auto" w:fill="auto"/>
            <w:noWrap/>
            <w:vAlign w:val="center"/>
            <w:hideMark/>
          </w:tcPr>
          <w:p w14:paraId="66F79C8D"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59 (40.1)</w:t>
            </w:r>
          </w:p>
        </w:tc>
        <w:tc>
          <w:tcPr>
            <w:tcW w:w="2760" w:type="dxa"/>
            <w:tcBorders>
              <w:top w:val="nil"/>
              <w:left w:val="nil"/>
              <w:bottom w:val="dotted" w:sz="4" w:space="0" w:color="auto"/>
              <w:right w:val="nil"/>
            </w:tcBorders>
            <w:shd w:val="clear" w:color="auto" w:fill="auto"/>
            <w:noWrap/>
            <w:vAlign w:val="center"/>
            <w:hideMark/>
          </w:tcPr>
          <w:p w14:paraId="443DA9AF"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321" w:type="dxa"/>
            <w:tcBorders>
              <w:top w:val="nil"/>
              <w:left w:val="nil"/>
              <w:bottom w:val="dotted" w:sz="4" w:space="0" w:color="auto"/>
              <w:right w:val="nil"/>
            </w:tcBorders>
            <w:vAlign w:val="center"/>
          </w:tcPr>
          <w:p w14:paraId="0F27B399" w14:textId="77777777" w:rsidR="00BB6580" w:rsidRPr="00BB6580" w:rsidRDefault="00BB6580" w:rsidP="00BB6580">
            <w:pPr>
              <w:spacing w:after="0" w:line="240" w:lineRule="auto"/>
              <w:jc w:val="center"/>
              <w:rPr>
                <w:rFonts w:eastAsia="Times New Roman" w:cs="Times New Roman"/>
                <w:color w:val="000000"/>
                <w:szCs w:val="24"/>
                <w:lang w:val="de-CH" w:eastAsia="de-CH"/>
              </w:rPr>
            </w:pPr>
          </w:p>
        </w:tc>
      </w:tr>
      <w:tr w:rsidR="00BB6580" w:rsidRPr="00241D39" w14:paraId="3B02081B" w14:textId="0121A6F0"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7724029B" w14:textId="77777777" w:rsidR="00BB6580" w:rsidRPr="00241D39" w:rsidRDefault="00BB6580" w:rsidP="00241D39">
            <w:pPr>
              <w:spacing w:after="0" w:line="240" w:lineRule="auto"/>
              <w:jc w:val="left"/>
              <w:rPr>
                <w:rFonts w:eastAsia="Times New Roman" w:cs="Times New Roman"/>
                <w:b/>
                <w:bCs/>
                <w:color w:val="000000"/>
                <w:szCs w:val="24"/>
                <w:lang w:val="de-CH" w:eastAsia="de-CH"/>
              </w:rPr>
            </w:pPr>
            <w:proofErr w:type="spellStart"/>
            <w:r w:rsidRPr="00241D39">
              <w:rPr>
                <w:rFonts w:eastAsia="Times New Roman" w:cs="Times New Roman"/>
                <w:b/>
                <w:bCs/>
                <w:color w:val="000000"/>
                <w:szCs w:val="24"/>
                <w:lang w:val="de-CH" w:eastAsia="de-CH"/>
              </w:rPr>
              <w:t>Past</w:t>
            </w:r>
            <w:proofErr w:type="spellEnd"/>
            <w:r w:rsidRPr="00241D39">
              <w:rPr>
                <w:rFonts w:eastAsia="Times New Roman" w:cs="Times New Roman"/>
                <w:b/>
                <w:bCs/>
                <w:color w:val="000000"/>
                <w:szCs w:val="24"/>
                <w:lang w:val="de-CH" w:eastAsia="de-CH"/>
              </w:rPr>
              <w:t xml:space="preserve"> </w:t>
            </w:r>
            <w:proofErr w:type="spellStart"/>
            <w:r w:rsidRPr="00241D39">
              <w:rPr>
                <w:rFonts w:eastAsia="Times New Roman" w:cs="Times New Roman"/>
                <w:b/>
                <w:bCs/>
                <w:color w:val="000000"/>
                <w:szCs w:val="24"/>
                <w:lang w:val="de-CH" w:eastAsia="de-CH"/>
              </w:rPr>
              <w:t>medical</w:t>
            </w:r>
            <w:proofErr w:type="spellEnd"/>
            <w:r w:rsidRPr="00241D39">
              <w:rPr>
                <w:rFonts w:eastAsia="Times New Roman" w:cs="Times New Roman"/>
                <w:b/>
                <w:bCs/>
                <w:color w:val="000000"/>
                <w:szCs w:val="24"/>
                <w:lang w:val="de-CH" w:eastAsia="de-CH"/>
              </w:rPr>
              <w:t xml:space="preserve"> </w:t>
            </w:r>
            <w:proofErr w:type="spellStart"/>
            <w:r w:rsidRPr="00241D39">
              <w:rPr>
                <w:rFonts w:eastAsia="Times New Roman" w:cs="Times New Roman"/>
                <w:b/>
                <w:bCs/>
                <w:color w:val="000000"/>
                <w:szCs w:val="24"/>
                <w:lang w:val="de-CH" w:eastAsia="de-CH"/>
              </w:rPr>
              <w:t>history</w:t>
            </w:r>
            <w:proofErr w:type="spellEnd"/>
          </w:p>
        </w:tc>
        <w:tc>
          <w:tcPr>
            <w:tcW w:w="2760" w:type="dxa"/>
            <w:tcBorders>
              <w:top w:val="nil"/>
              <w:left w:val="nil"/>
              <w:bottom w:val="dotted" w:sz="4" w:space="0" w:color="auto"/>
              <w:right w:val="nil"/>
            </w:tcBorders>
            <w:shd w:val="clear" w:color="auto" w:fill="auto"/>
            <w:noWrap/>
            <w:vAlign w:val="center"/>
            <w:hideMark/>
          </w:tcPr>
          <w:p w14:paraId="3B84F603"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760" w:type="dxa"/>
            <w:tcBorders>
              <w:top w:val="nil"/>
              <w:left w:val="nil"/>
              <w:bottom w:val="dotted" w:sz="4" w:space="0" w:color="auto"/>
              <w:right w:val="single" w:sz="8" w:space="0" w:color="auto"/>
            </w:tcBorders>
            <w:shd w:val="clear" w:color="auto" w:fill="auto"/>
            <w:noWrap/>
            <w:vAlign w:val="center"/>
            <w:hideMark/>
          </w:tcPr>
          <w:p w14:paraId="76DE94BF"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760" w:type="dxa"/>
            <w:tcBorders>
              <w:top w:val="nil"/>
              <w:left w:val="nil"/>
              <w:bottom w:val="dotted" w:sz="4" w:space="0" w:color="auto"/>
              <w:right w:val="nil"/>
            </w:tcBorders>
            <w:shd w:val="clear" w:color="auto" w:fill="auto"/>
            <w:noWrap/>
            <w:vAlign w:val="center"/>
            <w:hideMark/>
          </w:tcPr>
          <w:p w14:paraId="53FD646A"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321" w:type="dxa"/>
            <w:tcBorders>
              <w:top w:val="nil"/>
              <w:left w:val="nil"/>
              <w:bottom w:val="dotted" w:sz="4" w:space="0" w:color="auto"/>
              <w:right w:val="nil"/>
            </w:tcBorders>
            <w:vAlign w:val="center"/>
          </w:tcPr>
          <w:p w14:paraId="030DFB11" w14:textId="77777777" w:rsidR="00BB6580" w:rsidRPr="00BB6580" w:rsidRDefault="00BB6580" w:rsidP="00BB6580">
            <w:pPr>
              <w:spacing w:after="0" w:line="240" w:lineRule="auto"/>
              <w:jc w:val="center"/>
              <w:rPr>
                <w:rFonts w:eastAsia="Times New Roman" w:cs="Times New Roman"/>
                <w:color w:val="000000"/>
                <w:szCs w:val="24"/>
                <w:lang w:val="de-CH" w:eastAsia="de-CH"/>
              </w:rPr>
            </w:pPr>
          </w:p>
        </w:tc>
      </w:tr>
      <w:tr w:rsidR="00BB6580" w:rsidRPr="00241D39" w14:paraId="1BD3B3B1" w14:textId="4A655F4B"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57FDC63B" w14:textId="77777777" w:rsidR="00BB6580" w:rsidRPr="00241D39" w:rsidRDefault="00BB6580" w:rsidP="00BB6580">
            <w:pPr>
              <w:spacing w:after="0" w:line="240" w:lineRule="auto"/>
              <w:jc w:val="left"/>
              <w:rPr>
                <w:rFonts w:eastAsia="Times New Roman" w:cs="Times New Roman"/>
                <w:color w:val="000000"/>
                <w:szCs w:val="24"/>
                <w:lang w:val="de-CH" w:eastAsia="de-CH"/>
              </w:rPr>
            </w:pPr>
            <w:proofErr w:type="spellStart"/>
            <w:r w:rsidRPr="00241D39">
              <w:rPr>
                <w:rFonts w:eastAsia="Times New Roman" w:cs="Times New Roman"/>
                <w:color w:val="000000"/>
                <w:szCs w:val="24"/>
                <w:lang w:val="de-CH" w:eastAsia="de-CH"/>
              </w:rPr>
              <w:t>Coronary</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artery</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disease</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3DAA97C8"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153 (71.2)</w:t>
            </w:r>
          </w:p>
        </w:tc>
        <w:tc>
          <w:tcPr>
            <w:tcW w:w="2760" w:type="dxa"/>
            <w:tcBorders>
              <w:top w:val="nil"/>
              <w:left w:val="nil"/>
              <w:bottom w:val="dotted" w:sz="4" w:space="0" w:color="auto"/>
              <w:right w:val="single" w:sz="8" w:space="0" w:color="auto"/>
            </w:tcBorders>
            <w:shd w:val="clear" w:color="auto" w:fill="auto"/>
            <w:noWrap/>
            <w:vAlign w:val="center"/>
            <w:hideMark/>
          </w:tcPr>
          <w:p w14:paraId="548D9F08"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115 (76.2)</w:t>
            </w:r>
          </w:p>
        </w:tc>
        <w:tc>
          <w:tcPr>
            <w:tcW w:w="2760" w:type="dxa"/>
            <w:tcBorders>
              <w:top w:val="nil"/>
              <w:left w:val="nil"/>
              <w:bottom w:val="dotted" w:sz="4" w:space="0" w:color="auto"/>
              <w:right w:val="nil"/>
            </w:tcBorders>
            <w:shd w:val="clear" w:color="auto" w:fill="auto"/>
            <w:noWrap/>
            <w:vAlign w:val="center"/>
            <w:hideMark/>
          </w:tcPr>
          <w:p w14:paraId="581AEBC4"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97 (75.8)</w:t>
            </w:r>
          </w:p>
        </w:tc>
        <w:tc>
          <w:tcPr>
            <w:tcW w:w="2321" w:type="dxa"/>
            <w:tcBorders>
              <w:top w:val="nil"/>
              <w:left w:val="nil"/>
              <w:bottom w:val="dotted" w:sz="4" w:space="0" w:color="auto"/>
              <w:right w:val="nil"/>
            </w:tcBorders>
            <w:vAlign w:val="center"/>
          </w:tcPr>
          <w:p w14:paraId="2E05945A" w14:textId="620EB0B6"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23 (47.9)</w:t>
            </w:r>
          </w:p>
        </w:tc>
      </w:tr>
      <w:tr w:rsidR="00BB6580" w:rsidRPr="00241D39" w14:paraId="01C84722" w14:textId="27191298"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23A15FF3" w14:textId="77777777" w:rsidR="00BB6580" w:rsidRPr="00241D39" w:rsidRDefault="00BB6580" w:rsidP="00BB6580">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 xml:space="preserve">Prior </w:t>
            </w:r>
            <w:proofErr w:type="spellStart"/>
            <w:r w:rsidRPr="00241D39">
              <w:rPr>
                <w:rFonts w:eastAsia="Times New Roman" w:cs="Times New Roman"/>
                <w:color w:val="000000"/>
                <w:szCs w:val="24"/>
                <w:lang w:val="de-CH" w:eastAsia="de-CH"/>
              </w:rPr>
              <w:t>myocardial</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infarction</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00EAAE2B"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106 (49.3)</w:t>
            </w:r>
          </w:p>
        </w:tc>
        <w:tc>
          <w:tcPr>
            <w:tcW w:w="2760" w:type="dxa"/>
            <w:tcBorders>
              <w:top w:val="nil"/>
              <w:left w:val="nil"/>
              <w:bottom w:val="dotted" w:sz="4" w:space="0" w:color="auto"/>
              <w:right w:val="single" w:sz="8" w:space="0" w:color="auto"/>
            </w:tcBorders>
            <w:shd w:val="clear" w:color="auto" w:fill="auto"/>
            <w:noWrap/>
            <w:vAlign w:val="center"/>
            <w:hideMark/>
          </w:tcPr>
          <w:p w14:paraId="462866A3"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87 (57.6)</w:t>
            </w:r>
          </w:p>
        </w:tc>
        <w:tc>
          <w:tcPr>
            <w:tcW w:w="2760" w:type="dxa"/>
            <w:tcBorders>
              <w:top w:val="nil"/>
              <w:left w:val="nil"/>
              <w:bottom w:val="dotted" w:sz="4" w:space="0" w:color="auto"/>
              <w:right w:val="nil"/>
            </w:tcBorders>
            <w:shd w:val="clear" w:color="auto" w:fill="auto"/>
            <w:noWrap/>
            <w:vAlign w:val="center"/>
            <w:hideMark/>
          </w:tcPr>
          <w:p w14:paraId="16F64BD7"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53 (41.4)</w:t>
            </w:r>
          </w:p>
        </w:tc>
        <w:tc>
          <w:tcPr>
            <w:tcW w:w="2321" w:type="dxa"/>
            <w:tcBorders>
              <w:top w:val="nil"/>
              <w:left w:val="nil"/>
              <w:bottom w:val="dotted" w:sz="4" w:space="0" w:color="auto"/>
              <w:right w:val="nil"/>
            </w:tcBorders>
            <w:vAlign w:val="center"/>
          </w:tcPr>
          <w:p w14:paraId="07EB1927" w14:textId="689E1A85"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12 (25.0)</w:t>
            </w:r>
          </w:p>
        </w:tc>
      </w:tr>
      <w:tr w:rsidR="00BB6580" w:rsidRPr="00241D39" w14:paraId="5992F2D7" w14:textId="6130AF07"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7B5D9686" w14:textId="77777777" w:rsidR="00BB6580" w:rsidRPr="00241D39" w:rsidRDefault="00BB6580" w:rsidP="00BB6580">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 xml:space="preserve">Prior </w:t>
            </w:r>
            <w:proofErr w:type="spellStart"/>
            <w:r w:rsidRPr="00241D39">
              <w:rPr>
                <w:rFonts w:eastAsia="Times New Roman" w:cs="Times New Roman"/>
                <w:color w:val="000000"/>
                <w:szCs w:val="24"/>
                <w:lang w:val="de-CH" w:eastAsia="de-CH"/>
              </w:rPr>
              <w:t>coronary</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revascularisation</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50649535"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135 (62.8)</w:t>
            </w:r>
          </w:p>
        </w:tc>
        <w:tc>
          <w:tcPr>
            <w:tcW w:w="2760" w:type="dxa"/>
            <w:tcBorders>
              <w:top w:val="nil"/>
              <w:left w:val="nil"/>
              <w:bottom w:val="dotted" w:sz="4" w:space="0" w:color="auto"/>
              <w:right w:val="single" w:sz="8" w:space="0" w:color="auto"/>
            </w:tcBorders>
            <w:shd w:val="clear" w:color="auto" w:fill="auto"/>
            <w:noWrap/>
            <w:vAlign w:val="center"/>
            <w:hideMark/>
          </w:tcPr>
          <w:p w14:paraId="3DBCECB1"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103 (68.2)</w:t>
            </w:r>
          </w:p>
        </w:tc>
        <w:tc>
          <w:tcPr>
            <w:tcW w:w="2760" w:type="dxa"/>
            <w:tcBorders>
              <w:top w:val="nil"/>
              <w:left w:val="nil"/>
              <w:bottom w:val="dotted" w:sz="4" w:space="0" w:color="auto"/>
              <w:right w:val="nil"/>
            </w:tcBorders>
            <w:shd w:val="clear" w:color="auto" w:fill="auto"/>
            <w:noWrap/>
            <w:vAlign w:val="center"/>
            <w:hideMark/>
          </w:tcPr>
          <w:p w14:paraId="13D1255C"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48 (37.5)</w:t>
            </w:r>
          </w:p>
        </w:tc>
        <w:tc>
          <w:tcPr>
            <w:tcW w:w="2321" w:type="dxa"/>
            <w:tcBorders>
              <w:top w:val="nil"/>
              <w:left w:val="nil"/>
              <w:bottom w:val="dotted" w:sz="4" w:space="0" w:color="auto"/>
              <w:right w:val="nil"/>
            </w:tcBorders>
            <w:vAlign w:val="center"/>
          </w:tcPr>
          <w:p w14:paraId="23B792C9" w14:textId="146C4972"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9 (18.8)</w:t>
            </w:r>
          </w:p>
        </w:tc>
      </w:tr>
      <w:tr w:rsidR="00BB6580" w:rsidRPr="00241D39" w14:paraId="620EC4A6" w14:textId="5486EA6E"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757B19B0" w14:textId="77777777" w:rsidR="00BB6580" w:rsidRPr="00241D39" w:rsidRDefault="00BB6580" w:rsidP="00241D39">
            <w:pPr>
              <w:spacing w:after="0" w:line="240" w:lineRule="auto"/>
              <w:jc w:val="left"/>
              <w:rPr>
                <w:rFonts w:eastAsia="Times New Roman" w:cs="Times New Roman"/>
                <w:b/>
                <w:bCs/>
                <w:color w:val="000000"/>
                <w:szCs w:val="24"/>
                <w:lang w:val="de-CH" w:eastAsia="de-CH"/>
              </w:rPr>
            </w:pPr>
            <w:r w:rsidRPr="00241D39">
              <w:rPr>
                <w:rFonts w:eastAsia="Times New Roman" w:cs="Times New Roman"/>
                <w:b/>
                <w:bCs/>
                <w:color w:val="000000"/>
                <w:szCs w:val="24"/>
                <w:lang w:val="de-CH" w:eastAsia="de-CH"/>
              </w:rPr>
              <w:t xml:space="preserve">Vital </w:t>
            </w:r>
            <w:proofErr w:type="spellStart"/>
            <w:r w:rsidRPr="00241D39">
              <w:rPr>
                <w:rFonts w:eastAsia="Times New Roman" w:cs="Times New Roman"/>
                <w:b/>
                <w:bCs/>
                <w:color w:val="000000"/>
                <w:szCs w:val="24"/>
                <w:lang w:val="de-CH" w:eastAsia="de-CH"/>
              </w:rPr>
              <w:t>parameters</w:t>
            </w:r>
            <w:proofErr w:type="spellEnd"/>
            <w:r w:rsidRPr="00241D39">
              <w:rPr>
                <w:rFonts w:eastAsia="Times New Roman" w:cs="Times New Roman"/>
                <w:b/>
                <w:bCs/>
                <w:color w:val="000000"/>
                <w:szCs w:val="24"/>
                <w:lang w:val="de-CH" w:eastAsia="de-CH"/>
              </w:rPr>
              <w:t xml:space="preserve"> at </w:t>
            </w:r>
            <w:proofErr w:type="spellStart"/>
            <w:r w:rsidRPr="00241D39">
              <w:rPr>
                <w:rFonts w:eastAsia="Times New Roman" w:cs="Times New Roman"/>
                <w:b/>
                <w:bCs/>
                <w:color w:val="000000"/>
                <w:szCs w:val="24"/>
                <w:lang w:val="de-CH" w:eastAsia="de-CH"/>
              </w:rPr>
              <w:t>admission</w:t>
            </w:r>
            <w:proofErr w:type="spellEnd"/>
          </w:p>
        </w:tc>
        <w:tc>
          <w:tcPr>
            <w:tcW w:w="2760" w:type="dxa"/>
            <w:tcBorders>
              <w:top w:val="nil"/>
              <w:left w:val="nil"/>
              <w:bottom w:val="dotted" w:sz="4" w:space="0" w:color="auto"/>
              <w:right w:val="nil"/>
            </w:tcBorders>
            <w:shd w:val="clear" w:color="auto" w:fill="auto"/>
            <w:noWrap/>
            <w:vAlign w:val="center"/>
            <w:hideMark/>
          </w:tcPr>
          <w:p w14:paraId="0E95713F"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760" w:type="dxa"/>
            <w:tcBorders>
              <w:top w:val="nil"/>
              <w:left w:val="nil"/>
              <w:bottom w:val="dotted" w:sz="4" w:space="0" w:color="auto"/>
              <w:right w:val="single" w:sz="8" w:space="0" w:color="auto"/>
            </w:tcBorders>
            <w:shd w:val="clear" w:color="auto" w:fill="auto"/>
            <w:noWrap/>
            <w:vAlign w:val="center"/>
            <w:hideMark/>
          </w:tcPr>
          <w:p w14:paraId="16263E8D"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760" w:type="dxa"/>
            <w:tcBorders>
              <w:top w:val="nil"/>
              <w:left w:val="nil"/>
              <w:bottom w:val="dotted" w:sz="4" w:space="0" w:color="auto"/>
              <w:right w:val="nil"/>
            </w:tcBorders>
            <w:shd w:val="clear" w:color="auto" w:fill="auto"/>
            <w:noWrap/>
            <w:vAlign w:val="center"/>
            <w:hideMark/>
          </w:tcPr>
          <w:p w14:paraId="543A77B2"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321" w:type="dxa"/>
            <w:tcBorders>
              <w:top w:val="nil"/>
              <w:left w:val="nil"/>
              <w:bottom w:val="dotted" w:sz="4" w:space="0" w:color="auto"/>
              <w:right w:val="nil"/>
            </w:tcBorders>
            <w:vAlign w:val="center"/>
          </w:tcPr>
          <w:p w14:paraId="56DC6DC1" w14:textId="77777777" w:rsidR="00BB6580" w:rsidRPr="00BB6580" w:rsidRDefault="00BB6580" w:rsidP="00BB6580">
            <w:pPr>
              <w:spacing w:after="0" w:line="240" w:lineRule="auto"/>
              <w:jc w:val="center"/>
              <w:rPr>
                <w:rFonts w:eastAsia="Times New Roman" w:cs="Times New Roman"/>
                <w:color w:val="000000"/>
                <w:szCs w:val="24"/>
                <w:lang w:val="de-CH" w:eastAsia="de-CH"/>
              </w:rPr>
            </w:pPr>
          </w:p>
        </w:tc>
      </w:tr>
      <w:tr w:rsidR="00BB6580" w:rsidRPr="00241D39" w14:paraId="10DB3965" w14:textId="616B5F40"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6B9AFE1A" w14:textId="77777777" w:rsidR="00BB6580" w:rsidRPr="00241D39" w:rsidRDefault="00BB6580" w:rsidP="00BB6580">
            <w:pPr>
              <w:spacing w:after="0" w:line="240" w:lineRule="auto"/>
              <w:jc w:val="left"/>
              <w:rPr>
                <w:rFonts w:eastAsia="Times New Roman" w:cs="Times New Roman"/>
                <w:color w:val="000000"/>
                <w:szCs w:val="24"/>
                <w:lang w:val="de-CH" w:eastAsia="de-CH"/>
              </w:rPr>
            </w:pPr>
            <w:proofErr w:type="spellStart"/>
            <w:r w:rsidRPr="00241D39">
              <w:rPr>
                <w:rFonts w:eastAsia="Times New Roman" w:cs="Times New Roman"/>
                <w:color w:val="000000"/>
                <w:szCs w:val="24"/>
                <w:lang w:val="de-CH" w:eastAsia="de-CH"/>
              </w:rPr>
              <w:t>Systolic</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blood</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pressure</w:t>
            </w:r>
            <w:proofErr w:type="spellEnd"/>
            <w:r w:rsidRPr="00241D39">
              <w:rPr>
                <w:rFonts w:eastAsia="Times New Roman" w:cs="Times New Roman"/>
                <w:color w:val="000000"/>
                <w:szCs w:val="24"/>
                <w:lang w:val="de-CH" w:eastAsia="de-CH"/>
              </w:rPr>
              <w:t xml:space="preserve"> - </w:t>
            </w:r>
            <w:proofErr w:type="spellStart"/>
            <w:r w:rsidRPr="00241D39">
              <w:rPr>
                <w:rFonts w:eastAsia="Times New Roman" w:cs="Times New Roman"/>
                <w:color w:val="000000"/>
                <w:szCs w:val="24"/>
                <w:lang w:val="de-CH" w:eastAsia="de-CH"/>
              </w:rPr>
              <w:t>mmHg</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34131791"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142 [131, 160]</w:t>
            </w:r>
          </w:p>
        </w:tc>
        <w:tc>
          <w:tcPr>
            <w:tcW w:w="2760" w:type="dxa"/>
            <w:tcBorders>
              <w:top w:val="nil"/>
              <w:left w:val="nil"/>
              <w:bottom w:val="dotted" w:sz="4" w:space="0" w:color="auto"/>
              <w:right w:val="single" w:sz="8" w:space="0" w:color="auto"/>
            </w:tcBorders>
            <w:shd w:val="clear" w:color="auto" w:fill="auto"/>
            <w:noWrap/>
            <w:vAlign w:val="center"/>
            <w:hideMark/>
          </w:tcPr>
          <w:p w14:paraId="5B7BF3B6"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145 [127, 159]</w:t>
            </w:r>
          </w:p>
        </w:tc>
        <w:tc>
          <w:tcPr>
            <w:tcW w:w="2760" w:type="dxa"/>
            <w:tcBorders>
              <w:top w:val="nil"/>
              <w:left w:val="nil"/>
              <w:bottom w:val="dotted" w:sz="4" w:space="0" w:color="auto"/>
              <w:right w:val="nil"/>
            </w:tcBorders>
            <w:shd w:val="clear" w:color="auto" w:fill="auto"/>
            <w:noWrap/>
            <w:vAlign w:val="center"/>
            <w:hideMark/>
          </w:tcPr>
          <w:p w14:paraId="3D416562"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137 [120, 158]</w:t>
            </w:r>
          </w:p>
        </w:tc>
        <w:tc>
          <w:tcPr>
            <w:tcW w:w="2321" w:type="dxa"/>
            <w:tcBorders>
              <w:top w:val="nil"/>
              <w:left w:val="nil"/>
              <w:bottom w:val="dotted" w:sz="4" w:space="0" w:color="auto"/>
              <w:right w:val="nil"/>
            </w:tcBorders>
            <w:vAlign w:val="center"/>
          </w:tcPr>
          <w:p w14:paraId="6F3207CB" w14:textId="194A47D3"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76.14 (19.10)</w:t>
            </w:r>
          </w:p>
        </w:tc>
      </w:tr>
      <w:tr w:rsidR="00BB6580" w:rsidRPr="00241D39" w14:paraId="6B7262ED" w14:textId="6D61E603"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45359488" w14:textId="77777777" w:rsidR="00BB6580" w:rsidRPr="00241D39" w:rsidRDefault="00BB6580" w:rsidP="00BB6580">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 xml:space="preserve">Heart rate - </w:t>
            </w:r>
            <w:proofErr w:type="spellStart"/>
            <w:r w:rsidRPr="00241D39">
              <w:rPr>
                <w:rFonts w:eastAsia="Times New Roman" w:cs="Times New Roman"/>
                <w:color w:val="000000"/>
                <w:szCs w:val="24"/>
                <w:lang w:val="de-CH" w:eastAsia="de-CH"/>
              </w:rPr>
              <w:t>beats</w:t>
            </w:r>
            <w:proofErr w:type="spellEnd"/>
            <w:r w:rsidRPr="00241D39">
              <w:rPr>
                <w:rFonts w:eastAsia="Times New Roman" w:cs="Times New Roman"/>
                <w:color w:val="000000"/>
                <w:szCs w:val="24"/>
                <w:lang w:val="de-CH" w:eastAsia="de-CH"/>
              </w:rPr>
              <w:t>/min</w:t>
            </w:r>
          </w:p>
        </w:tc>
        <w:tc>
          <w:tcPr>
            <w:tcW w:w="2760" w:type="dxa"/>
            <w:tcBorders>
              <w:top w:val="nil"/>
              <w:left w:val="nil"/>
              <w:bottom w:val="dotted" w:sz="4" w:space="0" w:color="auto"/>
              <w:right w:val="dotted" w:sz="4" w:space="0" w:color="auto"/>
            </w:tcBorders>
            <w:shd w:val="clear" w:color="auto" w:fill="auto"/>
            <w:noWrap/>
            <w:vAlign w:val="center"/>
            <w:hideMark/>
          </w:tcPr>
          <w:p w14:paraId="33901221"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69 [62, 80]</w:t>
            </w:r>
          </w:p>
        </w:tc>
        <w:tc>
          <w:tcPr>
            <w:tcW w:w="2760" w:type="dxa"/>
            <w:tcBorders>
              <w:top w:val="nil"/>
              <w:left w:val="nil"/>
              <w:bottom w:val="dotted" w:sz="4" w:space="0" w:color="auto"/>
              <w:right w:val="single" w:sz="8" w:space="0" w:color="auto"/>
            </w:tcBorders>
            <w:shd w:val="clear" w:color="auto" w:fill="auto"/>
            <w:noWrap/>
            <w:vAlign w:val="center"/>
            <w:hideMark/>
          </w:tcPr>
          <w:p w14:paraId="391444F8"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69 [61, 81]</w:t>
            </w:r>
          </w:p>
        </w:tc>
        <w:tc>
          <w:tcPr>
            <w:tcW w:w="2760" w:type="dxa"/>
            <w:tcBorders>
              <w:top w:val="nil"/>
              <w:left w:val="nil"/>
              <w:bottom w:val="dotted" w:sz="4" w:space="0" w:color="auto"/>
              <w:right w:val="nil"/>
            </w:tcBorders>
            <w:shd w:val="clear" w:color="auto" w:fill="auto"/>
            <w:noWrap/>
            <w:vAlign w:val="center"/>
            <w:hideMark/>
          </w:tcPr>
          <w:p w14:paraId="59A6B4C9"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69.00 [64, 77]</w:t>
            </w:r>
          </w:p>
        </w:tc>
        <w:tc>
          <w:tcPr>
            <w:tcW w:w="2321" w:type="dxa"/>
            <w:tcBorders>
              <w:top w:val="nil"/>
              <w:left w:val="nil"/>
              <w:bottom w:val="dotted" w:sz="4" w:space="0" w:color="auto"/>
              <w:right w:val="nil"/>
            </w:tcBorders>
            <w:vAlign w:val="center"/>
          </w:tcPr>
          <w:p w14:paraId="5FC1F740" w14:textId="51B21FF9"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148.40 (35.08)</w:t>
            </w:r>
          </w:p>
        </w:tc>
      </w:tr>
      <w:tr w:rsidR="00BB6580" w:rsidRPr="00241D39" w14:paraId="379CF84D" w14:textId="2F373D53"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1E4A0B1F" w14:textId="77777777" w:rsidR="00BB6580" w:rsidRPr="00241D39" w:rsidRDefault="00BB6580" w:rsidP="00241D39">
            <w:pPr>
              <w:spacing w:after="0" w:line="240" w:lineRule="auto"/>
              <w:jc w:val="left"/>
              <w:rPr>
                <w:rFonts w:eastAsia="Times New Roman" w:cs="Times New Roman"/>
                <w:color w:val="000000"/>
                <w:szCs w:val="24"/>
                <w:lang w:val="de-CH" w:eastAsia="de-CH"/>
              </w:rPr>
            </w:pPr>
            <w:proofErr w:type="spellStart"/>
            <w:r w:rsidRPr="00241D39">
              <w:rPr>
                <w:rFonts w:eastAsia="Times New Roman" w:cs="Times New Roman"/>
                <w:color w:val="000000"/>
                <w:szCs w:val="24"/>
                <w:lang w:val="de-CH" w:eastAsia="de-CH"/>
              </w:rPr>
              <w:t>Breathing</w:t>
            </w:r>
            <w:proofErr w:type="spellEnd"/>
            <w:r w:rsidRPr="00241D39">
              <w:rPr>
                <w:rFonts w:eastAsia="Times New Roman" w:cs="Times New Roman"/>
                <w:color w:val="000000"/>
                <w:szCs w:val="24"/>
                <w:lang w:val="de-CH" w:eastAsia="de-CH"/>
              </w:rPr>
              <w:t xml:space="preserve"> rate - </w:t>
            </w:r>
            <w:proofErr w:type="spellStart"/>
            <w:r w:rsidRPr="00241D39">
              <w:rPr>
                <w:rFonts w:eastAsia="Times New Roman" w:cs="Times New Roman"/>
                <w:color w:val="000000"/>
                <w:szCs w:val="24"/>
                <w:lang w:val="de-CH" w:eastAsia="de-CH"/>
              </w:rPr>
              <w:t>breaths</w:t>
            </w:r>
            <w:proofErr w:type="spellEnd"/>
            <w:r w:rsidRPr="00241D39">
              <w:rPr>
                <w:rFonts w:eastAsia="Times New Roman" w:cs="Times New Roman"/>
                <w:color w:val="000000"/>
                <w:szCs w:val="24"/>
                <w:lang w:val="de-CH" w:eastAsia="de-CH"/>
              </w:rPr>
              <w:t>/min</w:t>
            </w:r>
          </w:p>
        </w:tc>
        <w:tc>
          <w:tcPr>
            <w:tcW w:w="2760" w:type="dxa"/>
            <w:tcBorders>
              <w:top w:val="nil"/>
              <w:left w:val="nil"/>
              <w:bottom w:val="dotted" w:sz="4" w:space="0" w:color="auto"/>
              <w:right w:val="dotted" w:sz="4" w:space="0" w:color="auto"/>
            </w:tcBorders>
            <w:shd w:val="clear" w:color="auto" w:fill="auto"/>
            <w:noWrap/>
            <w:vAlign w:val="center"/>
            <w:hideMark/>
          </w:tcPr>
          <w:p w14:paraId="199962D4"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16 [14, 20]</w:t>
            </w:r>
          </w:p>
        </w:tc>
        <w:tc>
          <w:tcPr>
            <w:tcW w:w="2760" w:type="dxa"/>
            <w:tcBorders>
              <w:top w:val="nil"/>
              <w:left w:val="nil"/>
              <w:bottom w:val="dotted" w:sz="4" w:space="0" w:color="auto"/>
              <w:right w:val="single" w:sz="8" w:space="0" w:color="auto"/>
            </w:tcBorders>
            <w:shd w:val="clear" w:color="auto" w:fill="auto"/>
            <w:noWrap/>
            <w:vAlign w:val="center"/>
            <w:hideMark/>
          </w:tcPr>
          <w:p w14:paraId="2C712C31"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17 [14, 19]</w:t>
            </w:r>
          </w:p>
        </w:tc>
        <w:tc>
          <w:tcPr>
            <w:tcW w:w="2760" w:type="dxa"/>
            <w:tcBorders>
              <w:top w:val="nil"/>
              <w:left w:val="nil"/>
              <w:bottom w:val="dotted" w:sz="4" w:space="0" w:color="auto"/>
              <w:right w:val="nil"/>
            </w:tcBorders>
            <w:shd w:val="clear" w:color="auto" w:fill="auto"/>
            <w:noWrap/>
            <w:vAlign w:val="center"/>
            <w:hideMark/>
          </w:tcPr>
          <w:p w14:paraId="0CB93117" w14:textId="77777777" w:rsidR="00BB6580" w:rsidRPr="00241D39" w:rsidRDefault="00BB6580" w:rsidP="00241D39">
            <w:pPr>
              <w:spacing w:after="0" w:line="240" w:lineRule="auto"/>
              <w:jc w:val="center"/>
              <w:rPr>
                <w:rFonts w:eastAsia="Times New Roman" w:cs="Times New Roman"/>
                <w:color w:val="000000"/>
                <w:szCs w:val="24"/>
                <w:lang w:val="de-CH" w:eastAsia="de-CH"/>
              </w:rPr>
            </w:pPr>
            <w:proofErr w:type="spellStart"/>
            <w:r w:rsidRPr="00241D39">
              <w:rPr>
                <w:rFonts w:eastAsia="Times New Roman" w:cs="Times New Roman"/>
                <w:color w:val="000000"/>
                <w:szCs w:val="24"/>
                <w:lang w:val="de-CH" w:eastAsia="de-CH"/>
              </w:rPr>
              <w:t>n.a</w:t>
            </w:r>
            <w:proofErr w:type="spellEnd"/>
            <w:r w:rsidRPr="00241D39">
              <w:rPr>
                <w:rFonts w:eastAsia="Times New Roman" w:cs="Times New Roman"/>
                <w:color w:val="000000"/>
                <w:szCs w:val="24"/>
                <w:lang w:val="de-CH" w:eastAsia="de-CH"/>
              </w:rPr>
              <w:t>.</w:t>
            </w:r>
          </w:p>
        </w:tc>
        <w:tc>
          <w:tcPr>
            <w:tcW w:w="2321" w:type="dxa"/>
            <w:tcBorders>
              <w:top w:val="nil"/>
              <w:left w:val="nil"/>
              <w:bottom w:val="dotted" w:sz="4" w:space="0" w:color="auto"/>
              <w:right w:val="nil"/>
            </w:tcBorders>
            <w:vAlign w:val="center"/>
          </w:tcPr>
          <w:p w14:paraId="75386248" w14:textId="77777777" w:rsidR="00BB6580" w:rsidRPr="00BB6580" w:rsidRDefault="00BB6580" w:rsidP="00BB6580">
            <w:pPr>
              <w:spacing w:after="0" w:line="240" w:lineRule="auto"/>
              <w:jc w:val="center"/>
              <w:rPr>
                <w:rFonts w:eastAsia="Times New Roman" w:cs="Times New Roman"/>
                <w:color w:val="000000"/>
                <w:szCs w:val="24"/>
                <w:lang w:val="de-CH" w:eastAsia="de-CH"/>
              </w:rPr>
            </w:pPr>
          </w:p>
        </w:tc>
      </w:tr>
      <w:tr w:rsidR="00BB6580" w:rsidRPr="00241D39" w14:paraId="62EC445D" w14:textId="0F1F48CA"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1BEE7D9D" w14:textId="77777777" w:rsidR="00BB6580" w:rsidRPr="00241D39" w:rsidRDefault="00BB6580" w:rsidP="00241D39">
            <w:pPr>
              <w:spacing w:after="0" w:line="240" w:lineRule="auto"/>
              <w:jc w:val="left"/>
              <w:rPr>
                <w:rFonts w:eastAsia="Times New Roman" w:cs="Times New Roman"/>
                <w:b/>
                <w:bCs/>
                <w:color w:val="000000"/>
                <w:szCs w:val="24"/>
                <w:lang w:val="de-CH" w:eastAsia="de-CH"/>
              </w:rPr>
            </w:pPr>
            <w:proofErr w:type="spellStart"/>
            <w:r w:rsidRPr="00241D39">
              <w:rPr>
                <w:rFonts w:eastAsia="Times New Roman" w:cs="Times New Roman"/>
                <w:b/>
                <w:bCs/>
                <w:color w:val="000000"/>
                <w:szCs w:val="24"/>
                <w:lang w:val="de-CH" w:eastAsia="de-CH"/>
              </w:rPr>
              <w:t>Electrocardiography</w:t>
            </w:r>
            <w:proofErr w:type="spellEnd"/>
          </w:p>
        </w:tc>
        <w:tc>
          <w:tcPr>
            <w:tcW w:w="2760" w:type="dxa"/>
            <w:tcBorders>
              <w:top w:val="nil"/>
              <w:left w:val="nil"/>
              <w:bottom w:val="dotted" w:sz="4" w:space="0" w:color="auto"/>
              <w:right w:val="nil"/>
            </w:tcBorders>
            <w:shd w:val="clear" w:color="auto" w:fill="auto"/>
            <w:noWrap/>
            <w:vAlign w:val="center"/>
            <w:hideMark/>
          </w:tcPr>
          <w:p w14:paraId="2755A922"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760" w:type="dxa"/>
            <w:tcBorders>
              <w:top w:val="nil"/>
              <w:left w:val="nil"/>
              <w:bottom w:val="dotted" w:sz="4" w:space="0" w:color="auto"/>
              <w:right w:val="single" w:sz="8" w:space="0" w:color="auto"/>
            </w:tcBorders>
            <w:shd w:val="clear" w:color="auto" w:fill="auto"/>
            <w:noWrap/>
            <w:vAlign w:val="center"/>
            <w:hideMark/>
          </w:tcPr>
          <w:p w14:paraId="1C464091"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760" w:type="dxa"/>
            <w:tcBorders>
              <w:top w:val="nil"/>
              <w:left w:val="nil"/>
              <w:bottom w:val="dotted" w:sz="4" w:space="0" w:color="auto"/>
              <w:right w:val="nil"/>
            </w:tcBorders>
            <w:shd w:val="clear" w:color="auto" w:fill="auto"/>
            <w:noWrap/>
            <w:vAlign w:val="center"/>
            <w:hideMark/>
          </w:tcPr>
          <w:p w14:paraId="4E27AB87" w14:textId="77777777" w:rsidR="00BB6580" w:rsidRPr="00241D39" w:rsidRDefault="00BB6580" w:rsidP="00241D39">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 </w:t>
            </w:r>
          </w:p>
        </w:tc>
        <w:tc>
          <w:tcPr>
            <w:tcW w:w="2321" w:type="dxa"/>
            <w:tcBorders>
              <w:top w:val="nil"/>
              <w:left w:val="nil"/>
              <w:bottom w:val="dotted" w:sz="4" w:space="0" w:color="auto"/>
              <w:right w:val="nil"/>
            </w:tcBorders>
            <w:vAlign w:val="center"/>
          </w:tcPr>
          <w:p w14:paraId="3E381EC3" w14:textId="77777777" w:rsidR="00BB6580" w:rsidRPr="00BB6580" w:rsidRDefault="00BB6580" w:rsidP="00BB6580">
            <w:pPr>
              <w:spacing w:after="0" w:line="240" w:lineRule="auto"/>
              <w:jc w:val="center"/>
              <w:rPr>
                <w:rFonts w:eastAsia="Times New Roman" w:cs="Times New Roman"/>
                <w:color w:val="000000"/>
                <w:szCs w:val="24"/>
                <w:lang w:val="de-CH" w:eastAsia="de-CH"/>
              </w:rPr>
            </w:pPr>
          </w:p>
        </w:tc>
      </w:tr>
      <w:tr w:rsidR="00BB6580" w:rsidRPr="00241D39" w14:paraId="459F74B9" w14:textId="0A00ED38" w:rsidTr="003E7FE3">
        <w:trPr>
          <w:trHeight w:val="360"/>
        </w:trPr>
        <w:tc>
          <w:tcPr>
            <w:tcW w:w="4480" w:type="dxa"/>
            <w:tcBorders>
              <w:top w:val="nil"/>
              <w:left w:val="dotted" w:sz="4" w:space="0" w:color="auto"/>
              <w:bottom w:val="dotted" w:sz="4" w:space="0" w:color="auto"/>
              <w:right w:val="single" w:sz="8" w:space="0" w:color="auto"/>
            </w:tcBorders>
            <w:shd w:val="clear" w:color="auto" w:fill="auto"/>
            <w:noWrap/>
            <w:vAlign w:val="center"/>
            <w:hideMark/>
          </w:tcPr>
          <w:p w14:paraId="1D079A53" w14:textId="77777777" w:rsidR="00BB6580" w:rsidRPr="00241D39" w:rsidRDefault="00BB6580" w:rsidP="00BB6580">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t xml:space="preserve">ST-segment </w:t>
            </w:r>
            <w:proofErr w:type="spellStart"/>
            <w:r w:rsidRPr="00241D39">
              <w:rPr>
                <w:rFonts w:eastAsia="Times New Roman" w:cs="Times New Roman"/>
                <w:color w:val="000000"/>
                <w:szCs w:val="24"/>
                <w:lang w:val="de-CH" w:eastAsia="de-CH"/>
              </w:rPr>
              <w:t>depression</w:t>
            </w:r>
            <w:proofErr w:type="spellEnd"/>
          </w:p>
        </w:tc>
        <w:tc>
          <w:tcPr>
            <w:tcW w:w="2760" w:type="dxa"/>
            <w:tcBorders>
              <w:top w:val="nil"/>
              <w:left w:val="nil"/>
              <w:bottom w:val="dotted" w:sz="4" w:space="0" w:color="auto"/>
              <w:right w:val="dotted" w:sz="4" w:space="0" w:color="auto"/>
            </w:tcBorders>
            <w:shd w:val="clear" w:color="auto" w:fill="auto"/>
            <w:noWrap/>
            <w:vAlign w:val="center"/>
            <w:hideMark/>
          </w:tcPr>
          <w:p w14:paraId="47B82344"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16 (7.5)</w:t>
            </w:r>
          </w:p>
        </w:tc>
        <w:tc>
          <w:tcPr>
            <w:tcW w:w="2760" w:type="dxa"/>
            <w:tcBorders>
              <w:top w:val="nil"/>
              <w:left w:val="nil"/>
              <w:bottom w:val="dotted" w:sz="4" w:space="0" w:color="auto"/>
              <w:right w:val="single" w:sz="8" w:space="0" w:color="auto"/>
            </w:tcBorders>
            <w:shd w:val="clear" w:color="auto" w:fill="auto"/>
            <w:noWrap/>
            <w:vAlign w:val="center"/>
            <w:hideMark/>
          </w:tcPr>
          <w:p w14:paraId="7E2DBB9F"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18 (12.1)</w:t>
            </w:r>
          </w:p>
        </w:tc>
        <w:tc>
          <w:tcPr>
            <w:tcW w:w="2760" w:type="dxa"/>
            <w:tcBorders>
              <w:top w:val="nil"/>
              <w:left w:val="nil"/>
              <w:bottom w:val="dotted" w:sz="4" w:space="0" w:color="auto"/>
              <w:right w:val="nil"/>
            </w:tcBorders>
            <w:shd w:val="clear" w:color="auto" w:fill="auto"/>
            <w:noWrap/>
            <w:vAlign w:val="center"/>
            <w:hideMark/>
          </w:tcPr>
          <w:p w14:paraId="3B83AD63"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7 (5.2)</w:t>
            </w:r>
          </w:p>
        </w:tc>
        <w:tc>
          <w:tcPr>
            <w:tcW w:w="2321" w:type="dxa"/>
            <w:tcBorders>
              <w:top w:val="nil"/>
              <w:left w:val="nil"/>
              <w:bottom w:val="dotted" w:sz="4" w:space="0" w:color="auto"/>
              <w:right w:val="nil"/>
            </w:tcBorders>
            <w:vAlign w:val="center"/>
          </w:tcPr>
          <w:p w14:paraId="609930AB" w14:textId="398187BF"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1 (2.2)</w:t>
            </w:r>
          </w:p>
        </w:tc>
      </w:tr>
      <w:tr w:rsidR="00BB6580" w:rsidRPr="00241D39" w14:paraId="797AD8C9" w14:textId="6FECFA38" w:rsidTr="003E7FE3">
        <w:trPr>
          <w:trHeight w:val="360"/>
        </w:trPr>
        <w:tc>
          <w:tcPr>
            <w:tcW w:w="4480" w:type="dxa"/>
            <w:tcBorders>
              <w:top w:val="dotted" w:sz="4" w:space="0" w:color="auto"/>
              <w:left w:val="dotted" w:sz="4" w:space="0" w:color="auto"/>
              <w:bottom w:val="single" w:sz="4" w:space="0" w:color="auto"/>
              <w:right w:val="single" w:sz="8" w:space="0" w:color="auto"/>
            </w:tcBorders>
            <w:shd w:val="clear" w:color="auto" w:fill="auto"/>
            <w:noWrap/>
            <w:vAlign w:val="center"/>
            <w:hideMark/>
          </w:tcPr>
          <w:p w14:paraId="114DBB2C" w14:textId="77777777" w:rsidR="00BB6580" w:rsidRPr="00241D39" w:rsidRDefault="00BB6580" w:rsidP="00BB6580">
            <w:pPr>
              <w:spacing w:after="0" w:line="240" w:lineRule="auto"/>
              <w:jc w:val="left"/>
              <w:rPr>
                <w:rFonts w:eastAsia="Times New Roman" w:cs="Times New Roman"/>
                <w:color w:val="000000"/>
                <w:szCs w:val="24"/>
                <w:lang w:val="de-CH" w:eastAsia="de-CH"/>
              </w:rPr>
            </w:pPr>
            <w:r w:rsidRPr="00241D39">
              <w:rPr>
                <w:rFonts w:eastAsia="Times New Roman" w:cs="Times New Roman"/>
                <w:color w:val="000000"/>
                <w:szCs w:val="24"/>
                <w:lang w:val="de-CH" w:eastAsia="de-CH"/>
              </w:rPr>
              <w:lastRenderedPageBreak/>
              <w:t>T-</w:t>
            </w:r>
            <w:proofErr w:type="spellStart"/>
            <w:r w:rsidRPr="00241D39">
              <w:rPr>
                <w:rFonts w:eastAsia="Times New Roman" w:cs="Times New Roman"/>
                <w:color w:val="000000"/>
                <w:szCs w:val="24"/>
                <w:lang w:val="de-CH" w:eastAsia="de-CH"/>
              </w:rPr>
              <w:t>wave</w:t>
            </w:r>
            <w:proofErr w:type="spellEnd"/>
            <w:r w:rsidRPr="00241D39">
              <w:rPr>
                <w:rFonts w:eastAsia="Times New Roman" w:cs="Times New Roman"/>
                <w:color w:val="000000"/>
                <w:szCs w:val="24"/>
                <w:lang w:val="de-CH" w:eastAsia="de-CH"/>
              </w:rPr>
              <w:t xml:space="preserve"> </w:t>
            </w:r>
            <w:proofErr w:type="spellStart"/>
            <w:r w:rsidRPr="00241D39">
              <w:rPr>
                <w:rFonts w:eastAsia="Times New Roman" w:cs="Times New Roman"/>
                <w:color w:val="000000"/>
                <w:szCs w:val="24"/>
                <w:lang w:val="de-CH" w:eastAsia="de-CH"/>
              </w:rPr>
              <w:t>inversion</w:t>
            </w:r>
            <w:proofErr w:type="spellEnd"/>
          </w:p>
        </w:tc>
        <w:tc>
          <w:tcPr>
            <w:tcW w:w="2760" w:type="dxa"/>
            <w:tcBorders>
              <w:top w:val="dotted" w:sz="4" w:space="0" w:color="auto"/>
              <w:left w:val="nil"/>
              <w:bottom w:val="single" w:sz="4" w:space="0" w:color="auto"/>
              <w:right w:val="dotted" w:sz="4" w:space="0" w:color="auto"/>
            </w:tcBorders>
            <w:shd w:val="clear" w:color="auto" w:fill="auto"/>
            <w:noWrap/>
            <w:vAlign w:val="center"/>
            <w:hideMark/>
          </w:tcPr>
          <w:p w14:paraId="6E1231EA"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28 (13)</w:t>
            </w:r>
          </w:p>
        </w:tc>
        <w:tc>
          <w:tcPr>
            <w:tcW w:w="2760" w:type="dxa"/>
            <w:tcBorders>
              <w:top w:val="dotted" w:sz="4" w:space="0" w:color="auto"/>
              <w:left w:val="nil"/>
              <w:bottom w:val="single" w:sz="4" w:space="0" w:color="auto"/>
              <w:right w:val="single" w:sz="8" w:space="0" w:color="auto"/>
            </w:tcBorders>
            <w:shd w:val="clear" w:color="auto" w:fill="auto"/>
            <w:noWrap/>
            <w:vAlign w:val="center"/>
            <w:hideMark/>
          </w:tcPr>
          <w:p w14:paraId="4B11E148"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43 (28.5)</w:t>
            </w:r>
          </w:p>
        </w:tc>
        <w:tc>
          <w:tcPr>
            <w:tcW w:w="2760" w:type="dxa"/>
            <w:tcBorders>
              <w:top w:val="dotted" w:sz="4" w:space="0" w:color="auto"/>
              <w:left w:val="nil"/>
              <w:bottom w:val="single" w:sz="4" w:space="0" w:color="auto"/>
              <w:right w:val="nil"/>
            </w:tcBorders>
            <w:shd w:val="clear" w:color="auto" w:fill="auto"/>
            <w:noWrap/>
            <w:vAlign w:val="center"/>
            <w:hideMark/>
          </w:tcPr>
          <w:p w14:paraId="07FC69FE" w14:textId="77777777" w:rsidR="00BB6580" w:rsidRPr="00241D39" w:rsidRDefault="00BB6580" w:rsidP="00BB6580">
            <w:pPr>
              <w:spacing w:after="0" w:line="240" w:lineRule="auto"/>
              <w:jc w:val="center"/>
              <w:rPr>
                <w:rFonts w:eastAsia="Times New Roman" w:cs="Times New Roman"/>
                <w:color w:val="000000"/>
                <w:szCs w:val="24"/>
                <w:lang w:val="de-CH" w:eastAsia="de-CH"/>
              </w:rPr>
            </w:pPr>
            <w:r w:rsidRPr="00241D39">
              <w:rPr>
                <w:rFonts w:eastAsia="Times New Roman" w:cs="Times New Roman"/>
                <w:color w:val="000000"/>
                <w:szCs w:val="24"/>
                <w:lang w:val="de-CH" w:eastAsia="de-CH"/>
              </w:rPr>
              <w:t>19 (13.9)</w:t>
            </w:r>
          </w:p>
        </w:tc>
        <w:tc>
          <w:tcPr>
            <w:tcW w:w="2321" w:type="dxa"/>
            <w:tcBorders>
              <w:top w:val="dotted" w:sz="4" w:space="0" w:color="auto"/>
              <w:left w:val="nil"/>
              <w:bottom w:val="single" w:sz="4" w:space="0" w:color="auto"/>
              <w:right w:val="nil"/>
            </w:tcBorders>
            <w:vAlign w:val="center"/>
          </w:tcPr>
          <w:p w14:paraId="714817F9" w14:textId="7B3EB962" w:rsidR="00BB6580" w:rsidRPr="00BB6580" w:rsidRDefault="00BB6580" w:rsidP="00BB6580">
            <w:pPr>
              <w:spacing w:after="0" w:line="240" w:lineRule="auto"/>
              <w:jc w:val="center"/>
              <w:rPr>
                <w:rFonts w:eastAsia="Times New Roman" w:cs="Times New Roman"/>
                <w:color w:val="000000"/>
                <w:szCs w:val="24"/>
                <w:lang w:val="de-CH" w:eastAsia="de-CH"/>
              </w:rPr>
            </w:pPr>
            <w:r w:rsidRPr="003E7FE3">
              <w:rPr>
                <w:rFonts w:cs="Times New Roman"/>
                <w:color w:val="000000"/>
                <w:szCs w:val="24"/>
              </w:rPr>
              <w:t>9 (18.0)</w:t>
            </w:r>
          </w:p>
        </w:tc>
      </w:tr>
    </w:tbl>
    <w:p w14:paraId="23C7AB9D" w14:textId="72103BEE" w:rsidR="004A2491" w:rsidRDefault="00241D39" w:rsidP="00241D39">
      <w:pPr>
        <w:rPr>
          <w:rFonts w:cs="Arial"/>
          <w:szCs w:val="24"/>
        </w:rPr>
      </w:pPr>
      <w:r w:rsidRPr="00450D3C">
        <w:rPr>
          <w:rFonts w:cs="Arial"/>
          <w:szCs w:val="24"/>
        </w:rPr>
        <w:t>Baseline characteris</w:t>
      </w:r>
      <w:r>
        <w:rPr>
          <w:rFonts w:cs="Arial"/>
          <w:szCs w:val="24"/>
        </w:rPr>
        <w:t xml:space="preserve">tics of patients with </w:t>
      </w:r>
      <w:r w:rsidR="001E7C94">
        <w:rPr>
          <w:rFonts w:cs="Arial"/>
          <w:szCs w:val="24"/>
        </w:rPr>
        <w:t>UA</w:t>
      </w:r>
      <w:r>
        <w:rPr>
          <w:rFonts w:cs="Arial"/>
          <w:szCs w:val="24"/>
        </w:rPr>
        <w:t xml:space="preserve"> split for whether they had any </w:t>
      </w:r>
      <w:proofErr w:type="spellStart"/>
      <w:r>
        <w:rPr>
          <w:rFonts w:cs="Arial"/>
          <w:szCs w:val="24"/>
        </w:rPr>
        <w:t>hs-cTn</w:t>
      </w:r>
      <w:proofErr w:type="spellEnd"/>
      <w:r>
        <w:rPr>
          <w:rFonts w:cs="Arial"/>
          <w:szCs w:val="24"/>
        </w:rPr>
        <w:t xml:space="preserve"> measurement </w:t>
      </w:r>
      <w:r>
        <w:rPr>
          <w:rFonts w:cs="Times New Roman"/>
          <w:szCs w:val="24"/>
        </w:rPr>
        <w:t>≥</w:t>
      </w:r>
      <w:r>
        <w:rPr>
          <w:rFonts w:cs="Arial"/>
          <w:szCs w:val="24"/>
        </w:rPr>
        <w:t>99</w:t>
      </w:r>
      <w:r w:rsidRPr="00A4784B">
        <w:rPr>
          <w:rFonts w:cs="Arial"/>
          <w:szCs w:val="24"/>
          <w:vertAlign w:val="superscript"/>
        </w:rPr>
        <w:t>th</w:t>
      </w:r>
      <w:r>
        <w:rPr>
          <w:rFonts w:cs="Arial"/>
          <w:szCs w:val="24"/>
        </w:rPr>
        <w:t xml:space="preserve"> percentile with no evidence of acute myocardial necrosis.</w:t>
      </w:r>
      <w:r w:rsidRPr="00450D3C">
        <w:rPr>
          <w:rFonts w:cs="Arial"/>
          <w:szCs w:val="24"/>
        </w:rPr>
        <w:t xml:space="preserve"> </w:t>
      </w:r>
      <w:r>
        <w:rPr>
          <w:rFonts w:cs="Arial"/>
          <w:szCs w:val="24"/>
        </w:rPr>
        <w:t>V</w:t>
      </w:r>
      <w:r w:rsidRPr="00450D3C">
        <w:rPr>
          <w:rFonts w:cs="Arial"/>
          <w:szCs w:val="24"/>
        </w:rPr>
        <w:t>alues shown as absolute number</w:t>
      </w:r>
      <w:r>
        <w:rPr>
          <w:rFonts w:cs="Arial"/>
          <w:szCs w:val="24"/>
        </w:rPr>
        <w:t>s</w:t>
      </w:r>
      <w:r w:rsidRPr="00450D3C">
        <w:rPr>
          <w:rFonts w:cs="Arial"/>
          <w:szCs w:val="24"/>
        </w:rPr>
        <w:t xml:space="preserve"> with (percentage</w:t>
      </w:r>
      <w:r>
        <w:rPr>
          <w:rFonts w:cs="Arial"/>
          <w:szCs w:val="24"/>
        </w:rPr>
        <w:t>s</w:t>
      </w:r>
      <w:r w:rsidRPr="00450D3C">
        <w:rPr>
          <w:rFonts w:cs="Arial"/>
          <w:szCs w:val="24"/>
        </w:rPr>
        <w:t>) or medi</w:t>
      </w:r>
      <w:r>
        <w:rPr>
          <w:rFonts w:cs="Arial"/>
          <w:szCs w:val="24"/>
        </w:rPr>
        <w:t>an with [interquartile range]</w:t>
      </w:r>
    </w:p>
    <w:p w14:paraId="00708A01" w14:textId="3CEFE5E6" w:rsidR="00241D39" w:rsidRDefault="00241D39">
      <w:pPr>
        <w:spacing w:after="0" w:line="240" w:lineRule="auto"/>
        <w:jc w:val="left"/>
        <w:rPr>
          <w:rFonts w:cs="Arial"/>
          <w:b/>
          <w:szCs w:val="24"/>
          <w:u w:val="single"/>
        </w:rPr>
      </w:pPr>
      <w:r>
        <w:rPr>
          <w:rFonts w:cs="Arial"/>
          <w:b/>
          <w:szCs w:val="24"/>
          <w:u w:val="single"/>
        </w:rPr>
        <w:br w:type="page"/>
      </w:r>
    </w:p>
    <w:p w14:paraId="2B75FC4A" w14:textId="7E6FA6E3" w:rsidR="00D43D6A" w:rsidRPr="00450D3C" w:rsidRDefault="00D04302" w:rsidP="00D43D6A">
      <w:pPr>
        <w:spacing w:line="360" w:lineRule="auto"/>
        <w:rPr>
          <w:rFonts w:cs="Arial"/>
          <w:szCs w:val="24"/>
          <w:lang w:eastAsia="de-CH"/>
        </w:rPr>
      </w:pPr>
      <w:proofErr w:type="spellStart"/>
      <w:r>
        <w:rPr>
          <w:rFonts w:cs="Arial"/>
          <w:b/>
          <w:szCs w:val="24"/>
          <w:u w:val="single"/>
        </w:rPr>
        <w:lastRenderedPageBreak/>
        <w:t>e</w:t>
      </w:r>
      <w:r w:rsidR="00317E7A">
        <w:rPr>
          <w:rFonts w:cs="Arial"/>
          <w:b/>
          <w:szCs w:val="24"/>
          <w:u w:val="single"/>
        </w:rPr>
        <w:t>Table</w:t>
      </w:r>
      <w:proofErr w:type="spellEnd"/>
      <w:r w:rsidR="00D43D6A" w:rsidRPr="005A6D26">
        <w:rPr>
          <w:rFonts w:cs="Arial"/>
          <w:b/>
          <w:szCs w:val="24"/>
          <w:u w:val="single"/>
        </w:rPr>
        <w:t xml:space="preserve"> </w:t>
      </w:r>
      <w:r w:rsidR="00241D39">
        <w:rPr>
          <w:rFonts w:cs="Arial"/>
          <w:b/>
          <w:szCs w:val="24"/>
          <w:u w:val="single"/>
        </w:rPr>
        <w:t>2</w:t>
      </w:r>
      <w:r w:rsidR="00D43D6A" w:rsidRPr="00450D3C">
        <w:rPr>
          <w:rFonts w:cs="Arial"/>
          <w:b/>
          <w:i/>
          <w:szCs w:val="24"/>
        </w:rPr>
        <w:t xml:space="preserve"> </w:t>
      </w:r>
      <w:r w:rsidR="002A26F4" w:rsidRPr="00630A82">
        <w:rPr>
          <w:color w:val="1A1718"/>
          <w:lang w:eastAsia="en-GB"/>
        </w:rPr>
        <w:t xml:space="preserve">Revascularisation </w:t>
      </w:r>
      <w:r w:rsidR="002A26F4" w:rsidRPr="00143100">
        <w:rPr>
          <w:color w:val="1A1718"/>
          <w:szCs w:val="24"/>
          <w:lang w:eastAsia="en-GB"/>
        </w:rPr>
        <w:t xml:space="preserve">procedures and resource use in the </w:t>
      </w:r>
      <w:r w:rsidR="002A26F4">
        <w:rPr>
          <w:color w:val="1A1718"/>
          <w:szCs w:val="24"/>
          <w:lang w:eastAsia="en-GB"/>
        </w:rPr>
        <w:t>APACE</w:t>
      </w:r>
      <w:r w:rsidR="002A26F4" w:rsidRPr="00143100">
        <w:rPr>
          <w:color w:val="1A1718"/>
          <w:szCs w:val="24"/>
          <w:lang w:eastAsia="en-GB"/>
        </w:rPr>
        <w:t xml:space="preserve"> cohort</w:t>
      </w:r>
      <w:r w:rsidR="002A26F4">
        <w:rPr>
          <w:color w:val="1A1718"/>
          <w:szCs w:val="24"/>
          <w:lang w:eastAsia="en-GB"/>
        </w:rPr>
        <w:t>.</w:t>
      </w:r>
      <w:r w:rsidR="002A26F4" w:rsidRPr="00450D3C">
        <w:rPr>
          <w:rFonts w:cs="Arial"/>
          <w:szCs w:val="24"/>
        </w:rPr>
        <w:t xml:space="preserve"> </w:t>
      </w:r>
      <w:r w:rsidR="00D43D6A" w:rsidRPr="00450D3C">
        <w:rPr>
          <w:rFonts w:cs="Arial"/>
          <w:szCs w:val="24"/>
        </w:rPr>
        <w:t xml:space="preserve">Frequency of use and results from coronary angiography and </w:t>
      </w:r>
      <w:r w:rsidR="00D43D6A">
        <w:rPr>
          <w:rFonts w:cs="Arial"/>
          <w:szCs w:val="24"/>
        </w:rPr>
        <w:t>revascularisation</w:t>
      </w:r>
      <w:r w:rsidR="00D43D6A" w:rsidRPr="00450D3C">
        <w:rPr>
          <w:rFonts w:cs="Arial"/>
          <w:szCs w:val="24"/>
        </w:rPr>
        <w:t xml:space="preserve"> procedures, shown as absolute numbers and (percentages) for unstable angina (UA), non-ST-segment elevation myocardial infarction (NSTEMI).and non-cardiac chest pain (NCCP); </w:t>
      </w:r>
      <w:r w:rsidR="00E34AC0">
        <w:rPr>
          <w:szCs w:val="24"/>
        </w:rPr>
        <w:t xml:space="preserve">*percentage of total coronary angiographies performed within 30 days; </w:t>
      </w:r>
      <w:r w:rsidR="00D43D6A" w:rsidRPr="00450D3C">
        <w:rPr>
          <w:rFonts w:cs="Arial"/>
          <w:szCs w:val="24"/>
        </w:rPr>
        <w:t>CAD = coronary artery disease; PCI = percutaneous coronary intervention</w:t>
      </w:r>
    </w:p>
    <w:tbl>
      <w:tblPr>
        <w:tblW w:w="14360" w:type="dxa"/>
        <w:tblInd w:w="55" w:type="dxa"/>
        <w:tblCellMar>
          <w:left w:w="70" w:type="dxa"/>
          <w:right w:w="70" w:type="dxa"/>
        </w:tblCellMar>
        <w:tblLook w:val="04A0" w:firstRow="1" w:lastRow="0" w:firstColumn="1" w:lastColumn="0" w:noHBand="0" w:noVBand="1"/>
      </w:tblPr>
      <w:tblGrid>
        <w:gridCol w:w="4760"/>
        <w:gridCol w:w="2040"/>
        <w:gridCol w:w="2040"/>
        <w:gridCol w:w="1840"/>
        <w:gridCol w:w="1840"/>
        <w:gridCol w:w="1840"/>
      </w:tblGrid>
      <w:tr w:rsidR="00584561" w:rsidRPr="00584561" w14:paraId="10131932" w14:textId="77777777" w:rsidTr="00584561">
        <w:trPr>
          <w:trHeight w:val="720"/>
        </w:trPr>
        <w:tc>
          <w:tcPr>
            <w:tcW w:w="4760" w:type="dxa"/>
            <w:tcBorders>
              <w:top w:val="nil"/>
              <w:left w:val="nil"/>
              <w:bottom w:val="single" w:sz="8" w:space="0" w:color="auto"/>
              <w:right w:val="single" w:sz="8" w:space="0" w:color="auto"/>
            </w:tcBorders>
            <w:shd w:val="clear" w:color="auto" w:fill="auto"/>
            <w:noWrap/>
            <w:vAlign w:val="bottom"/>
            <w:hideMark/>
          </w:tcPr>
          <w:p w14:paraId="1105EC2E" w14:textId="77777777" w:rsidR="00584561" w:rsidRPr="002F23F5" w:rsidRDefault="00584561" w:rsidP="00584561">
            <w:pPr>
              <w:spacing w:after="0" w:line="240" w:lineRule="auto"/>
              <w:jc w:val="left"/>
              <w:rPr>
                <w:rFonts w:eastAsia="Times New Roman" w:cs="Times New Roman"/>
                <w:color w:val="000000"/>
                <w:szCs w:val="24"/>
                <w:lang w:val="en-US" w:eastAsia="de-CH"/>
              </w:rPr>
            </w:pPr>
            <w:r w:rsidRPr="002F23F5">
              <w:rPr>
                <w:rFonts w:eastAsia="Times New Roman" w:cs="Times New Roman"/>
                <w:color w:val="000000"/>
                <w:szCs w:val="24"/>
                <w:lang w:val="en-US" w:eastAsia="de-CH"/>
              </w:rPr>
              <w:t> </w:t>
            </w:r>
          </w:p>
        </w:tc>
        <w:tc>
          <w:tcPr>
            <w:tcW w:w="2040" w:type="dxa"/>
            <w:tcBorders>
              <w:top w:val="nil"/>
              <w:left w:val="nil"/>
              <w:bottom w:val="single" w:sz="8" w:space="0" w:color="auto"/>
              <w:right w:val="nil"/>
            </w:tcBorders>
            <w:shd w:val="clear" w:color="auto" w:fill="auto"/>
            <w:vAlign w:val="bottom"/>
            <w:hideMark/>
          </w:tcPr>
          <w:p w14:paraId="2B4267AB" w14:textId="77777777" w:rsidR="00584561" w:rsidRPr="00584561" w:rsidRDefault="00584561" w:rsidP="00584561">
            <w:pPr>
              <w:spacing w:after="0" w:line="240" w:lineRule="auto"/>
              <w:jc w:val="center"/>
              <w:rPr>
                <w:rFonts w:eastAsia="Times New Roman" w:cs="Times New Roman"/>
                <w:b/>
                <w:bCs/>
                <w:color w:val="000000"/>
                <w:szCs w:val="24"/>
                <w:lang w:val="de-CH" w:eastAsia="de-CH"/>
              </w:rPr>
            </w:pPr>
            <w:proofErr w:type="spellStart"/>
            <w:r w:rsidRPr="00584561">
              <w:rPr>
                <w:rFonts w:eastAsia="Times New Roman" w:cs="Times New Roman"/>
                <w:b/>
                <w:bCs/>
                <w:color w:val="000000"/>
                <w:szCs w:val="24"/>
                <w:lang w:val="de-CH" w:eastAsia="de-CH"/>
              </w:rPr>
              <w:t>Unstable</w:t>
            </w:r>
            <w:proofErr w:type="spellEnd"/>
            <w:r w:rsidRPr="00584561">
              <w:rPr>
                <w:rFonts w:eastAsia="Times New Roman" w:cs="Times New Roman"/>
                <w:b/>
                <w:bCs/>
                <w:color w:val="000000"/>
                <w:szCs w:val="24"/>
                <w:lang w:val="de-CH" w:eastAsia="de-CH"/>
              </w:rPr>
              <w:t xml:space="preserve"> Angina</w:t>
            </w:r>
            <w:r w:rsidRPr="00584561">
              <w:rPr>
                <w:rFonts w:eastAsia="Times New Roman" w:cs="Times New Roman"/>
                <w:b/>
                <w:bCs/>
                <w:color w:val="000000"/>
                <w:szCs w:val="24"/>
                <w:lang w:val="de-CH" w:eastAsia="de-CH"/>
              </w:rPr>
              <w:br/>
              <w:t>n = 366</w:t>
            </w:r>
          </w:p>
        </w:tc>
        <w:tc>
          <w:tcPr>
            <w:tcW w:w="2040" w:type="dxa"/>
            <w:tcBorders>
              <w:top w:val="nil"/>
              <w:left w:val="nil"/>
              <w:bottom w:val="single" w:sz="8" w:space="0" w:color="auto"/>
              <w:right w:val="nil"/>
            </w:tcBorders>
            <w:shd w:val="clear" w:color="auto" w:fill="auto"/>
            <w:vAlign w:val="bottom"/>
            <w:hideMark/>
          </w:tcPr>
          <w:p w14:paraId="2D8FE57C" w14:textId="77777777" w:rsidR="00584561" w:rsidRPr="00584561" w:rsidRDefault="00584561" w:rsidP="00584561">
            <w:pPr>
              <w:spacing w:after="0" w:line="240" w:lineRule="auto"/>
              <w:jc w:val="center"/>
              <w:rPr>
                <w:rFonts w:eastAsia="Times New Roman" w:cs="Times New Roman"/>
                <w:b/>
                <w:bCs/>
                <w:color w:val="000000"/>
                <w:szCs w:val="24"/>
                <w:lang w:val="de-CH" w:eastAsia="de-CH"/>
              </w:rPr>
            </w:pPr>
            <w:r w:rsidRPr="00584561">
              <w:rPr>
                <w:rFonts w:eastAsia="Times New Roman" w:cs="Times New Roman"/>
                <w:b/>
                <w:bCs/>
                <w:color w:val="000000"/>
                <w:szCs w:val="24"/>
                <w:lang w:val="de-CH" w:eastAsia="de-CH"/>
              </w:rPr>
              <w:t>NSTEMI</w:t>
            </w:r>
            <w:r w:rsidRPr="00584561">
              <w:rPr>
                <w:rFonts w:eastAsia="Times New Roman" w:cs="Times New Roman"/>
                <w:b/>
                <w:bCs/>
                <w:color w:val="000000"/>
                <w:szCs w:val="24"/>
                <w:lang w:val="de-CH" w:eastAsia="de-CH"/>
              </w:rPr>
              <w:br/>
              <w:t>n = 622</w:t>
            </w:r>
          </w:p>
        </w:tc>
        <w:tc>
          <w:tcPr>
            <w:tcW w:w="1840" w:type="dxa"/>
            <w:tcBorders>
              <w:top w:val="nil"/>
              <w:left w:val="nil"/>
              <w:bottom w:val="single" w:sz="8" w:space="0" w:color="auto"/>
              <w:right w:val="dotted" w:sz="4" w:space="0" w:color="auto"/>
            </w:tcBorders>
            <w:shd w:val="clear" w:color="auto" w:fill="auto"/>
            <w:vAlign w:val="bottom"/>
            <w:hideMark/>
          </w:tcPr>
          <w:p w14:paraId="0463A223" w14:textId="77777777" w:rsidR="00584561" w:rsidRPr="00584561" w:rsidRDefault="00584561" w:rsidP="00584561">
            <w:pPr>
              <w:spacing w:after="0" w:line="240" w:lineRule="auto"/>
              <w:jc w:val="center"/>
              <w:rPr>
                <w:rFonts w:eastAsia="Times New Roman" w:cs="Times New Roman"/>
                <w:color w:val="000000"/>
                <w:szCs w:val="24"/>
                <w:lang w:eastAsia="de-CH"/>
              </w:rPr>
            </w:pPr>
            <w:r w:rsidRPr="00584561">
              <w:rPr>
                <w:rFonts w:eastAsia="Times New Roman" w:cs="Times New Roman"/>
                <w:color w:val="000000"/>
                <w:szCs w:val="24"/>
                <w:lang w:eastAsia="de-CH"/>
              </w:rPr>
              <w:t>p-value</w:t>
            </w:r>
            <w:r w:rsidRPr="00584561">
              <w:rPr>
                <w:rFonts w:eastAsia="Times New Roman" w:cs="Times New Roman"/>
                <w:color w:val="000000"/>
                <w:szCs w:val="24"/>
                <w:lang w:eastAsia="de-CH"/>
              </w:rPr>
              <w:br/>
              <w:t>UA vs NSTEMI</w:t>
            </w:r>
          </w:p>
        </w:tc>
        <w:tc>
          <w:tcPr>
            <w:tcW w:w="1840" w:type="dxa"/>
            <w:tcBorders>
              <w:top w:val="nil"/>
              <w:left w:val="nil"/>
              <w:bottom w:val="single" w:sz="8" w:space="0" w:color="auto"/>
              <w:right w:val="nil"/>
            </w:tcBorders>
            <w:shd w:val="clear" w:color="auto" w:fill="auto"/>
            <w:vAlign w:val="bottom"/>
            <w:hideMark/>
          </w:tcPr>
          <w:p w14:paraId="7D4FD541" w14:textId="77777777" w:rsidR="00584561" w:rsidRPr="00584561" w:rsidRDefault="00584561" w:rsidP="00584561">
            <w:pPr>
              <w:spacing w:after="0" w:line="240" w:lineRule="auto"/>
              <w:jc w:val="center"/>
              <w:rPr>
                <w:rFonts w:eastAsia="Times New Roman" w:cs="Times New Roman"/>
                <w:b/>
                <w:bCs/>
                <w:color w:val="000000"/>
                <w:szCs w:val="24"/>
                <w:lang w:val="de-CH" w:eastAsia="de-CH"/>
              </w:rPr>
            </w:pPr>
            <w:r w:rsidRPr="00584561">
              <w:rPr>
                <w:rFonts w:eastAsia="Times New Roman" w:cs="Times New Roman"/>
                <w:b/>
                <w:bCs/>
                <w:color w:val="000000"/>
                <w:szCs w:val="24"/>
                <w:lang w:val="de-CH" w:eastAsia="de-CH"/>
              </w:rPr>
              <w:t>NCCP</w:t>
            </w:r>
            <w:r w:rsidRPr="00584561">
              <w:rPr>
                <w:rFonts w:eastAsia="Times New Roman" w:cs="Times New Roman"/>
                <w:b/>
                <w:bCs/>
                <w:color w:val="000000"/>
                <w:szCs w:val="24"/>
                <w:lang w:val="de-CH" w:eastAsia="de-CH"/>
              </w:rPr>
              <w:br/>
              <w:t>n = 2154</w:t>
            </w:r>
          </w:p>
        </w:tc>
        <w:tc>
          <w:tcPr>
            <w:tcW w:w="1840" w:type="dxa"/>
            <w:tcBorders>
              <w:top w:val="nil"/>
              <w:left w:val="nil"/>
              <w:bottom w:val="single" w:sz="8" w:space="0" w:color="auto"/>
              <w:right w:val="nil"/>
            </w:tcBorders>
            <w:shd w:val="clear" w:color="auto" w:fill="auto"/>
            <w:vAlign w:val="bottom"/>
            <w:hideMark/>
          </w:tcPr>
          <w:p w14:paraId="7AB515D2" w14:textId="77777777" w:rsidR="00584561" w:rsidRPr="00584561" w:rsidRDefault="00584561" w:rsidP="00584561">
            <w:pPr>
              <w:spacing w:after="0" w:line="240" w:lineRule="auto"/>
              <w:jc w:val="center"/>
              <w:rPr>
                <w:rFonts w:eastAsia="Times New Roman" w:cs="Times New Roman"/>
                <w:color w:val="000000"/>
                <w:szCs w:val="24"/>
                <w:lang w:eastAsia="de-CH"/>
              </w:rPr>
            </w:pPr>
            <w:r w:rsidRPr="00584561">
              <w:rPr>
                <w:rFonts w:eastAsia="Times New Roman" w:cs="Times New Roman"/>
                <w:color w:val="000000"/>
                <w:szCs w:val="24"/>
                <w:lang w:eastAsia="de-CH"/>
              </w:rPr>
              <w:t>p-value</w:t>
            </w:r>
            <w:r w:rsidRPr="00584561">
              <w:rPr>
                <w:rFonts w:eastAsia="Times New Roman" w:cs="Times New Roman"/>
                <w:color w:val="000000"/>
                <w:szCs w:val="24"/>
                <w:lang w:eastAsia="de-CH"/>
              </w:rPr>
              <w:br/>
              <w:t>UA vs NCCP</w:t>
            </w:r>
          </w:p>
        </w:tc>
      </w:tr>
      <w:tr w:rsidR="00584561" w:rsidRPr="00584561" w14:paraId="4C353334" w14:textId="77777777" w:rsidTr="00584561">
        <w:trPr>
          <w:trHeight w:val="390"/>
        </w:trPr>
        <w:tc>
          <w:tcPr>
            <w:tcW w:w="4760" w:type="dxa"/>
            <w:tcBorders>
              <w:top w:val="nil"/>
              <w:left w:val="nil"/>
              <w:bottom w:val="nil"/>
              <w:right w:val="single" w:sz="8" w:space="0" w:color="auto"/>
            </w:tcBorders>
            <w:shd w:val="clear" w:color="auto" w:fill="auto"/>
            <w:noWrap/>
            <w:vAlign w:val="center"/>
            <w:hideMark/>
          </w:tcPr>
          <w:p w14:paraId="47BA490A" w14:textId="77777777" w:rsidR="00584561" w:rsidRPr="00584561" w:rsidRDefault="00584561" w:rsidP="00584561">
            <w:pPr>
              <w:spacing w:after="0" w:line="240" w:lineRule="auto"/>
              <w:jc w:val="left"/>
              <w:rPr>
                <w:rFonts w:eastAsia="Times New Roman" w:cs="Times New Roman"/>
                <w:color w:val="000000"/>
                <w:szCs w:val="24"/>
                <w:lang w:val="de-CH" w:eastAsia="de-CH"/>
              </w:rPr>
            </w:pPr>
            <w:proofErr w:type="spellStart"/>
            <w:r w:rsidRPr="00584561">
              <w:rPr>
                <w:rFonts w:eastAsia="Times New Roman" w:cs="Times New Roman"/>
                <w:color w:val="000000"/>
                <w:szCs w:val="24"/>
                <w:lang w:val="de-CH" w:eastAsia="de-CH"/>
              </w:rPr>
              <w:t>Coronary</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angiography</w:t>
            </w:r>
            <w:proofErr w:type="spellEnd"/>
            <w:r w:rsidRPr="00584561">
              <w:rPr>
                <w:rFonts w:eastAsia="Times New Roman" w:cs="Times New Roman"/>
                <w:color w:val="000000"/>
                <w:szCs w:val="24"/>
                <w:lang w:val="de-CH" w:eastAsia="de-CH"/>
              </w:rPr>
              <w:t xml:space="preserve"> 30days, n (%)</w:t>
            </w:r>
          </w:p>
        </w:tc>
        <w:tc>
          <w:tcPr>
            <w:tcW w:w="2040" w:type="dxa"/>
            <w:tcBorders>
              <w:top w:val="nil"/>
              <w:left w:val="nil"/>
              <w:bottom w:val="nil"/>
              <w:right w:val="nil"/>
            </w:tcBorders>
            <w:shd w:val="clear" w:color="auto" w:fill="auto"/>
            <w:noWrap/>
            <w:vAlign w:val="center"/>
            <w:hideMark/>
          </w:tcPr>
          <w:p w14:paraId="5090CF1C"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238 (65)</w:t>
            </w:r>
          </w:p>
        </w:tc>
        <w:tc>
          <w:tcPr>
            <w:tcW w:w="2040" w:type="dxa"/>
            <w:tcBorders>
              <w:top w:val="nil"/>
              <w:left w:val="nil"/>
              <w:bottom w:val="nil"/>
              <w:right w:val="nil"/>
            </w:tcBorders>
            <w:shd w:val="clear" w:color="auto" w:fill="auto"/>
            <w:noWrap/>
            <w:vAlign w:val="center"/>
            <w:hideMark/>
          </w:tcPr>
          <w:p w14:paraId="5E665424"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474 (76.2)</w:t>
            </w:r>
          </w:p>
        </w:tc>
        <w:tc>
          <w:tcPr>
            <w:tcW w:w="1840" w:type="dxa"/>
            <w:tcBorders>
              <w:top w:val="nil"/>
              <w:left w:val="nil"/>
              <w:bottom w:val="nil"/>
              <w:right w:val="dotted" w:sz="4" w:space="0" w:color="auto"/>
            </w:tcBorders>
            <w:shd w:val="clear" w:color="auto" w:fill="auto"/>
            <w:noWrap/>
            <w:vAlign w:val="center"/>
            <w:hideMark/>
          </w:tcPr>
          <w:p w14:paraId="16B6C34B"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c>
          <w:tcPr>
            <w:tcW w:w="1840" w:type="dxa"/>
            <w:tcBorders>
              <w:top w:val="nil"/>
              <w:left w:val="nil"/>
              <w:bottom w:val="nil"/>
              <w:right w:val="nil"/>
            </w:tcBorders>
            <w:shd w:val="clear" w:color="auto" w:fill="auto"/>
            <w:noWrap/>
            <w:vAlign w:val="center"/>
            <w:hideMark/>
          </w:tcPr>
          <w:p w14:paraId="7C6EE265"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105 (4.9)</w:t>
            </w:r>
          </w:p>
        </w:tc>
        <w:tc>
          <w:tcPr>
            <w:tcW w:w="1840" w:type="dxa"/>
            <w:tcBorders>
              <w:top w:val="nil"/>
              <w:left w:val="nil"/>
              <w:bottom w:val="nil"/>
              <w:right w:val="nil"/>
            </w:tcBorders>
            <w:shd w:val="clear" w:color="auto" w:fill="auto"/>
            <w:noWrap/>
            <w:vAlign w:val="center"/>
            <w:hideMark/>
          </w:tcPr>
          <w:p w14:paraId="44F027D7"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r>
      <w:tr w:rsidR="00584561" w:rsidRPr="00584561" w14:paraId="25270B42" w14:textId="77777777" w:rsidTr="00584561">
        <w:trPr>
          <w:trHeight w:val="390"/>
        </w:trPr>
        <w:tc>
          <w:tcPr>
            <w:tcW w:w="4760" w:type="dxa"/>
            <w:tcBorders>
              <w:top w:val="dotted" w:sz="4" w:space="0" w:color="auto"/>
              <w:left w:val="nil"/>
              <w:bottom w:val="dotted" w:sz="4" w:space="0" w:color="auto"/>
              <w:right w:val="single" w:sz="8" w:space="0" w:color="auto"/>
            </w:tcBorders>
            <w:shd w:val="clear" w:color="auto" w:fill="auto"/>
            <w:noWrap/>
            <w:vAlign w:val="center"/>
            <w:hideMark/>
          </w:tcPr>
          <w:p w14:paraId="2FFA3266"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no</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significant</w:t>
            </w:r>
            <w:proofErr w:type="spellEnd"/>
            <w:r w:rsidRPr="00584561">
              <w:rPr>
                <w:rFonts w:eastAsia="Times New Roman" w:cs="Times New Roman"/>
                <w:color w:val="000000"/>
                <w:szCs w:val="24"/>
                <w:lang w:val="de-CH" w:eastAsia="de-CH"/>
              </w:rPr>
              <w:t xml:space="preserve"> CAD</w:t>
            </w:r>
          </w:p>
        </w:tc>
        <w:tc>
          <w:tcPr>
            <w:tcW w:w="2040" w:type="dxa"/>
            <w:tcBorders>
              <w:top w:val="dotted" w:sz="4" w:space="0" w:color="auto"/>
              <w:left w:val="nil"/>
              <w:bottom w:val="dotted" w:sz="4" w:space="0" w:color="auto"/>
              <w:right w:val="nil"/>
            </w:tcBorders>
            <w:shd w:val="clear" w:color="auto" w:fill="auto"/>
            <w:noWrap/>
            <w:vAlign w:val="center"/>
            <w:hideMark/>
          </w:tcPr>
          <w:p w14:paraId="2C6C4B19"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 (0.4)</w:t>
            </w:r>
          </w:p>
        </w:tc>
        <w:tc>
          <w:tcPr>
            <w:tcW w:w="2040" w:type="dxa"/>
            <w:tcBorders>
              <w:top w:val="dotted" w:sz="4" w:space="0" w:color="auto"/>
              <w:left w:val="nil"/>
              <w:bottom w:val="dotted" w:sz="4" w:space="0" w:color="auto"/>
              <w:right w:val="nil"/>
            </w:tcBorders>
            <w:shd w:val="clear" w:color="auto" w:fill="auto"/>
            <w:noWrap/>
            <w:vAlign w:val="center"/>
            <w:hideMark/>
          </w:tcPr>
          <w:p w14:paraId="5189C1F7"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24 (5.1)</w:t>
            </w:r>
          </w:p>
        </w:tc>
        <w:tc>
          <w:tcPr>
            <w:tcW w:w="1840" w:type="dxa"/>
            <w:vMerge w:val="restart"/>
            <w:tcBorders>
              <w:top w:val="dotted" w:sz="4" w:space="0" w:color="auto"/>
              <w:left w:val="nil"/>
              <w:bottom w:val="dotted" w:sz="4" w:space="0" w:color="auto"/>
              <w:right w:val="dotted" w:sz="4" w:space="0" w:color="auto"/>
            </w:tcBorders>
            <w:shd w:val="clear" w:color="auto" w:fill="auto"/>
            <w:noWrap/>
            <w:vAlign w:val="center"/>
            <w:hideMark/>
          </w:tcPr>
          <w:p w14:paraId="2CE3104D"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0.001</w:t>
            </w:r>
          </w:p>
        </w:tc>
        <w:tc>
          <w:tcPr>
            <w:tcW w:w="1840" w:type="dxa"/>
            <w:tcBorders>
              <w:top w:val="dotted" w:sz="4" w:space="0" w:color="auto"/>
              <w:left w:val="nil"/>
              <w:bottom w:val="dotted" w:sz="4" w:space="0" w:color="auto"/>
              <w:right w:val="nil"/>
            </w:tcBorders>
            <w:shd w:val="clear" w:color="auto" w:fill="auto"/>
            <w:noWrap/>
            <w:vAlign w:val="center"/>
            <w:hideMark/>
          </w:tcPr>
          <w:p w14:paraId="1DF51F35"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66 (63.5)</w:t>
            </w:r>
          </w:p>
        </w:tc>
        <w:tc>
          <w:tcPr>
            <w:tcW w:w="1840" w:type="dxa"/>
            <w:vMerge w:val="restart"/>
            <w:tcBorders>
              <w:top w:val="dotted" w:sz="4" w:space="0" w:color="auto"/>
              <w:left w:val="nil"/>
              <w:bottom w:val="dotted" w:sz="4" w:space="0" w:color="auto"/>
              <w:right w:val="nil"/>
            </w:tcBorders>
            <w:shd w:val="clear" w:color="auto" w:fill="auto"/>
            <w:noWrap/>
            <w:vAlign w:val="center"/>
            <w:hideMark/>
          </w:tcPr>
          <w:p w14:paraId="5FBB07CC"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r>
      <w:tr w:rsidR="00584561" w:rsidRPr="00584561" w14:paraId="1CCB2DAA"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65E796E6"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1-vessel CAD, n (%)</w:t>
            </w:r>
          </w:p>
        </w:tc>
        <w:tc>
          <w:tcPr>
            <w:tcW w:w="2040" w:type="dxa"/>
            <w:tcBorders>
              <w:top w:val="nil"/>
              <w:left w:val="nil"/>
              <w:bottom w:val="dotted" w:sz="4" w:space="0" w:color="auto"/>
              <w:right w:val="nil"/>
            </w:tcBorders>
            <w:shd w:val="clear" w:color="auto" w:fill="auto"/>
            <w:noWrap/>
            <w:vAlign w:val="center"/>
            <w:hideMark/>
          </w:tcPr>
          <w:p w14:paraId="0094F10A"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67 (28.2)</w:t>
            </w:r>
          </w:p>
        </w:tc>
        <w:tc>
          <w:tcPr>
            <w:tcW w:w="2040" w:type="dxa"/>
            <w:tcBorders>
              <w:top w:val="nil"/>
              <w:left w:val="nil"/>
              <w:bottom w:val="dotted" w:sz="4" w:space="0" w:color="auto"/>
              <w:right w:val="nil"/>
            </w:tcBorders>
            <w:shd w:val="clear" w:color="auto" w:fill="auto"/>
            <w:noWrap/>
            <w:vAlign w:val="center"/>
            <w:hideMark/>
          </w:tcPr>
          <w:p w14:paraId="6CEFCD4B"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102 (21.5)</w:t>
            </w:r>
          </w:p>
        </w:tc>
        <w:tc>
          <w:tcPr>
            <w:tcW w:w="1840" w:type="dxa"/>
            <w:vMerge/>
            <w:tcBorders>
              <w:top w:val="dotted" w:sz="4" w:space="0" w:color="auto"/>
              <w:left w:val="nil"/>
              <w:bottom w:val="dotted" w:sz="4" w:space="0" w:color="auto"/>
              <w:right w:val="dotted" w:sz="4" w:space="0" w:color="auto"/>
            </w:tcBorders>
            <w:vAlign w:val="center"/>
            <w:hideMark/>
          </w:tcPr>
          <w:p w14:paraId="46A3AD15"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c>
          <w:tcPr>
            <w:tcW w:w="1840" w:type="dxa"/>
            <w:tcBorders>
              <w:top w:val="nil"/>
              <w:left w:val="nil"/>
              <w:bottom w:val="dotted" w:sz="4" w:space="0" w:color="auto"/>
              <w:right w:val="nil"/>
            </w:tcBorders>
            <w:shd w:val="clear" w:color="auto" w:fill="auto"/>
            <w:noWrap/>
            <w:vAlign w:val="center"/>
            <w:hideMark/>
          </w:tcPr>
          <w:p w14:paraId="1033E728"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8 (7.7)</w:t>
            </w:r>
          </w:p>
        </w:tc>
        <w:tc>
          <w:tcPr>
            <w:tcW w:w="1840" w:type="dxa"/>
            <w:vMerge/>
            <w:tcBorders>
              <w:top w:val="dotted" w:sz="4" w:space="0" w:color="auto"/>
              <w:left w:val="nil"/>
              <w:bottom w:val="dotted" w:sz="4" w:space="0" w:color="auto"/>
              <w:right w:val="nil"/>
            </w:tcBorders>
            <w:vAlign w:val="center"/>
            <w:hideMark/>
          </w:tcPr>
          <w:p w14:paraId="3237ABEB"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r>
      <w:tr w:rsidR="00584561" w:rsidRPr="00584561" w14:paraId="21AD3E58"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39A39DB0"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2-vessel CAD, n (%)</w:t>
            </w:r>
          </w:p>
        </w:tc>
        <w:tc>
          <w:tcPr>
            <w:tcW w:w="2040" w:type="dxa"/>
            <w:tcBorders>
              <w:top w:val="nil"/>
              <w:left w:val="nil"/>
              <w:bottom w:val="dotted" w:sz="4" w:space="0" w:color="auto"/>
              <w:right w:val="nil"/>
            </w:tcBorders>
            <w:shd w:val="clear" w:color="auto" w:fill="auto"/>
            <w:noWrap/>
            <w:vAlign w:val="center"/>
            <w:hideMark/>
          </w:tcPr>
          <w:p w14:paraId="54E534FD"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49 (20.6)</w:t>
            </w:r>
          </w:p>
        </w:tc>
        <w:tc>
          <w:tcPr>
            <w:tcW w:w="2040" w:type="dxa"/>
            <w:tcBorders>
              <w:top w:val="nil"/>
              <w:left w:val="nil"/>
              <w:bottom w:val="dotted" w:sz="4" w:space="0" w:color="auto"/>
              <w:right w:val="nil"/>
            </w:tcBorders>
            <w:shd w:val="clear" w:color="auto" w:fill="auto"/>
            <w:noWrap/>
            <w:vAlign w:val="center"/>
            <w:hideMark/>
          </w:tcPr>
          <w:p w14:paraId="782EB5C2"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118 (24.9)</w:t>
            </w:r>
          </w:p>
        </w:tc>
        <w:tc>
          <w:tcPr>
            <w:tcW w:w="1840" w:type="dxa"/>
            <w:vMerge/>
            <w:tcBorders>
              <w:top w:val="dotted" w:sz="4" w:space="0" w:color="auto"/>
              <w:left w:val="nil"/>
              <w:bottom w:val="dotted" w:sz="4" w:space="0" w:color="auto"/>
              <w:right w:val="dotted" w:sz="4" w:space="0" w:color="auto"/>
            </w:tcBorders>
            <w:vAlign w:val="center"/>
            <w:hideMark/>
          </w:tcPr>
          <w:p w14:paraId="32FFCA3D"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c>
          <w:tcPr>
            <w:tcW w:w="1840" w:type="dxa"/>
            <w:tcBorders>
              <w:top w:val="nil"/>
              <w:left w:val="nil"/>
              <w:bottom w:val="dotted" w:sz="4" w:space="0" w:color="auto"/>
              <w:right w:val="nil"/>
            </w:tcBorders>
            <w:shd w:val="clear" w:color="auto" w:fill="auto"/>
            <w:noWrap/>
            <w:vAlign w:val="center"/>
            <w:hideMark/>
          </w:tcPr>
          <w:p w14:paraId="19FE5C41"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15 (14.4)</w:t>
            </w:r>
          </w:p>
        </w:tc>
        <w:tc>
          <w:tcPr>
            <w:tcW w:w="1840" w:type="dxa"/>
            <w:vMerge/>
            <w:tcBorders>
              <w:top w:val="dotted" w:sz="4" w:space="0" w:color="auto"/>
              <w:left w:val="nil"/>
              <w:bottom w:val="dotted" w:sz="4" w:space="0" w:color="auto"/>
              <w:right w:val="nil"/>
            </w:tcBorders>
            <w:vAlign w:val="center"/>
            <w:hideMark/>
          </w:tcPr>
          <w:p w14:paraId="4E25F823"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r>
      <w:tr w:rsidR="00584561" w:rsidRPr="00584561" w14:paraId="076544E9"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0E3D7177"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3-vessel CAD, n (%)</w:t>
            </w:r>
          </w:p>
        </w:tc>
        <w:tc>
          <w:tcPr>
            <w:tcW w:w="2040" w:type="dxa"/>
            <w:tcBorders>
              <w:top w:val="nil"/>
              <w:left w:val="nil"/>
              <w:bottom w:val="dotted" w:sz="4" w:space="0" w:color="auto"/>
              <w:right w:val="nil"/>
            </w:tcBorders>
            <w:shd w:val="clear" w:color="auto" w:fill="auto"/>
            <w:noWrap/>
            <w:vAlign w:val="center"/>
            <w:hideMark/>
          </w:tcPr>
          <w:p w14:paraId="66369E3F"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121 (50.8)</w:t>
            </w:r>
          </w:p>
        </w:tc>
        <w:tc>
          <w:tcPr>
            <w:tcW w:w="2040" w:type="dxa"/>
            <w:tcBorders>
              <w:top w:val="nil"/>
              <w:left w:val="nil"/>
              <w:bottom w:val="dotted" w:sz="4" w:space="0" w:color="auto"/>
              <w:right w:val="nil"/>
            </w:tcBorders>
            <w:shd w:val="clear" w:color="auto" w:fill="auto"/>
            <w:noWrap/>
            <w:vAlign w:val="center"/>
            <w:hideMark/>
          </w:tcPr>
          <w:p w14:paraId="5861C3AE"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230 (48.5)</w:t>
            </w:r>
          </w:p>
        </w:tc>
        <w:tc>
          <w:tcPr>
            <w:tcW w:w="1840" w:type="dxa"/>
            <w:vMerge/>
            <w:tcBorders>
              <w:top w:val="dotted" w:sz="4" w:space="0" w:color="auto"/>
              <w:left w:val="nil"/>
              <w:bottom w:val="dotted" w:sz="4" w:space="0" w:color="auto"/>
              <w:right w:val="dotted" w:sz="4" w:space="0" w:color="auto"/>
            </w:tcBorders>
            <w:vAlign w:val="center"/>
            <w:hideMark/>
          </w:tcPr>
          <w:p w14:paraId="399CE086"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c>
          <w:tcPr>
            <w:tcW w:w="1840" w:type="dxa"/>
            <w:tcBorders>
              <w:top w:val="nil"/>
              <w:left w:val="nil"/>
              <w:bottom w:val="dotted" w:sz="4" w:space="0" w:color="auto"/>
              <w:right w:val="nil"/>
            </w:tcBorders>
            <w:shd w:val="clear" w:color="auto" w:fill="auto"/>
            <w:noWrap/>
            <w:vAlign w:val="center"/>
            <w:hideMark/>
          </w:tcPr>
          <w:p w14:paraId="525E4740"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15 (14.4)</w:t>
            </w:r>
          </w:p>
        </w:tc>
        <w:tc>
          <w:tcPr>
            <w:tcW w:w="1840" w:type="dxa"/>
            <w:vMerge/>
            <w:tcBorders>
              <w:top w:val="dotted" w:sz="4" w:space="0" w:color="auto"/>
              <w:left w:val="nil"/>
              <w:bottom w:val="dotted" w:sz="4" w:space="0" w:color="auto"/>
              <w:right w:val="nil"/>
            </w:tcBorders>
            <w:vAlign w:val="center"/>
            <w:hideMark/>
          </w:tcPr>
          <w:p w14:paraId="05E04289"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r>
      <w:tr w:rsidR="00B12BE3" w:rsidRPr="00584561" w14:paraId="7E8CE23B"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tcPr>
          <w:p w14:paraId="12257A1E" w14:textId="52F1F369" w:rsidR="00B12BE3" w:rsidRPr="00584561" w:rsidRDefault="00B12BE3" w:rsidP="00584561">
            <w:pPr>
              <w:spacing w:after="0" w:line="240" w:lineRule="auto"/>
              <w:jc w:val="left"/>
              <w:rPr>
                <w:rFonts w:eastAsia="Times New Roman" w:cs="Times New Roman"/>
                <w:color w:val="000000"/>
                <w:szCs w:val="24"/>
                <w:lang w:eastAsia="de-CH"/>
              </w:rPr>
            </w:pPr>
            <w:r>
              <w:rPr>
                <w:rFonts w:eastAsia="Times New Roman" w:cs="Times New Roman"/>
                <w:color w:val="000000"/>
                <w:szCs w:val="24"/>
                <w:lang w:eastAsia="de-CH"/>
              </w:rPr>
              <w:t>Coronary angiography</w:t>
            </w:r>
            <w:r w:rsidR="00E34AC0">
              <w:rPr>
                <w:rFonts w:eastAsia="Times New Roman" w:cs="Times New Roman"/>
                <w:color w:val="000000"/>
                <w:szCs w:val="24"/>
                <w:lang w:eastAsia="de-CH"/>
              </w:rPr>
              <w:t xml:space="preserve"> during initial stay (%*)</w:t>
            </w:r>
          </w:p>
        </w:tc>
        <w:tc>
          <w:tcPr>
            <w:tcW w:w="2040" w:type="dxa"/>
            <w:tcBorders>
              <w:top w:val="nil"/>
              <w:left w:val="nil"/>
              <w:bottom w:val="dotted" w:sz="4" w:space="0" w:color="auto"/>
              <w:right w:val="nil"/>
            </w:tcBorders>
            <w:shd w:val="clear" w:color="auto" w:fill="auto"/>
            <w:noWrap/>
            <w:vAlign w:val="center"/>
          </w:tcPr>
          <w:p w14:paraId="42CA7E9B" w14:textId="5389C9CB" w:rsidR="00B12BE3" w:rsidRPr="00924D72" w:rsidRDefault="00E34AC0" w:rsidP="00584561">
            <w:pPr>
              <w:spacing w:after="0" w:line="240" w:lineRule="auto"/>
              <w:jc w:val="center"/>
              <w:rPr>
                <w:rFonts w:eastAsia="Times New Roman" w:cs="Times New Roman"/>
                <w:color w:val="000000"/>
                <w:szCs w:val="24"/>
                <w:lang w:val="en-US" w:eastAsia="de-CH"/>
              </w:rPr>
            </w:pPr>
            <w:r>
              <w:rPr>
                <w:rFonts w:eastAsia="Times New Roman" w:cs="Times New Roman"/>
                <w:color w:val="000000"/>
                <w:szCs w:val="24"/>
                <w:lang w:val="en-US" w:eastAsia="de-CH"/>
              </w:rPr>
              <w:t>204 (85.7)</w:t>
            </w:r>
          </w:p>
        </w:tc>
        <w:tc>
          <w:tcPr>
            <w:tcW w:w="2040" w:type="dxa"/>
            <w:tcBorders>
              <w:top w:val="nil"/>
              <w:left w:val="nil"/>
              <w:bottom w:val="dotted" w:sz="4" w:space="0" w:color="auto"/>
              <w:right w:val="nil"/>
            </w:tcBorders>
            <w:shd w:val="clear" w:color="auto" w:fill="auto"/>
            <w:noWrap/>
            <w:vAlign w:val="center"/>
          </w:tcPr>
          <w:p w14:paraId="6D67D281" w14:textId="3B5C3B66" w:rsidR="00B12BE3" w:rsidRPr="00924D72" w:rsidRDefault="00E34AC0" w:rsidP="00584561">
            <w:pPr>
              <w:spacing w:after="0" w:line="240" w:lineRule="auto"/>
              <w:jc w:val="center"/>
              <w:rPr>
                <w:rFonts w:eastAsia="Times New Roman" w:cs="Times New Roman"/>
                <w:color w:val="000000"/>
                <w:szCs w:val="24"/>
                <w:lang w:val="en-US" w:eastAsia="de-CH"/>
              </w:rPr>
            </w:pPr>
            <w:r>
              <w:rPr>
                <w:rFonts w:eastAsia="Times New Roman" w:cs="Times New Roman"/>
                <w:color w:val="000000"/>
                <w:szCs w:val="24"/>
                <w:lang w:val="en-US" w:eastAsia="de-CH"/>
              </w:rPr>
              <w:t>461 (97.3)</w:t>
            </w:r>
          </w:p>
        </w:tc>
        <w:tc>
          <w:tcPr>
            <w:tcW w:w="1840" w:type="dxa"/>
            <w:tcBorders>
              <w:top w:val="nil"/>
              <w:left w:val="nil"/>
              <w:bottom w:val="dotted" w:sz="4" w:space="0" w:color="auto"/>
              <w:right w:val="dotted" w:sz="4" w:space="0" w:color="auto"/>
            </w:tcBorders>
            <w:shd w:val="clear" w:color="auto" w:fill="auto"/>
            <w:noWrap/>
            <w:vAlign w:val="center"/>
          </w:tcPr>
          <w:p w14:paraId="430382AB" w14:textId="3D50D4B3" w:rsidR="00B12BE3" w:rsidRPr="00924D72" w:rsidRDefault="00E34AC0" w:rsidP="00584561">
            <w:pPr>
              <w:spacing w:after="0" w:line="240" w:lineRule="auto"/>
              <w:jc w:val="center"/>
              <w:rPr>
                <w:rFonts w:eastAsia="Times New Roman" w:cs="Times New Roman"/>
                <w:color w:val="000000"/>
                <w:szCs w:val="24"/>
                <w:lang w:val="en-US" w:eastAsia="de-CH"/>
              </w:rPr>
            </w:pPr>
            <w:r>
              <w:rPr>
                <w:rFonts w:eastAsia="Times New Roman" w:cs="Times New Roman"/>
                <w:color w:val="000000"/>
                <w:szCs w:val="24"/>
                <w:lang w:val="en-US" w:eastAsia="de-CH"/>
              </w:rPr>
              <w:t>&lt;0.001</w:t>
            </w:r>
          </w:p>
        </w:tc>
        <w:tc>
          <w:tcPr>
            <w:tcW w:w="1840" w:type="dxa"/>
            <w:tcBorders>
              <w:top w:val="nil"/>
              <w:left w:val="nil"/>
              <w:bottom w:val="dotted" w:sz="4" w:space="0" w:color="auto"/>
              <w:right w:val="nil"/>
            </w:tcBorders>
            <w:shd w:val="clear" w:color="auto" w:fill="auto"/>
            <w:noWrap/>
            <w:vAlign w:val="center"/>
          </w:tcPr>
          <w:p w14:paraId="78B8B1DC" w14:textId="0B409BFD" w:rsidR="00B12BE3" w:rsidRPr="00924D72" w:rsidRDefault="00E34AC0" w:rsidP="00584561">
            <w:pPr>
              <w:spacing w:after="0" w:line="240" w:lineRule="auto"/>
              <w:jc w:val="center"/>
              <w:rPr>
                <w:rFonts w:eastAsia="Times New Roman" w:cs="Times New Roman"/>
                <w:color w:val="000000"/>
                <w:szCs w:val="24"/>
                <w:lang w:val="en-US" w:eastAsia="de-CH"/>
              </w:rPr>
            </w:pPr>
            <w:r>
              <w:rPr>
                <w:rFonts w:eastAsia="Times New Roman" w:cs="Times New Roman"/>
                <w:color w:val="000000"/>
                <w:szCs w:val="24"/>
                <w:lang w:val="en-US" w:eastAsia="de-CH"/>
              </w:rPr>
              <w:t>88 (83.8)</w:t>
            </w:r>
          </w:p>
        </w:tc>
        <w:tc>
          <w:tcPr>
            <w:tcW w:w="1840" w:type="dxa"/>
            <w:tcBorders>
              <w:top w:val="nil"/>
              <w:left w:val="nil"/>
              <w:bottom w:val="dotted" w:sz="4" w:space="0" w:color="auto"/>
              <w:right w:val="nil"/>
            </w:tcBorders>
            <w:shd w:val="clear" w:color="auto" w:fill="auto"/>
            <w:noWrap/>
            <w:vAlign w:val="center"/>
          </w:tcPr>
          <w:p w14:paraId="608C39A9" w14:textId="694797A6" w:rsidR="00B12BE3" w:rsidRPr="00924D72" w:rsidRDefault="00E34AC0" w:rsidP="00584561">
            <w:pPr>
              <w:spacing w:after="0" w:line="240" w:lineRule="auto"/>
              <w:jc w:val="center"/>
              <w:rPr>
                <w:rFonts w:eastAsia="Times New Roman" w:cs="Times New Roman"/>
                <w:color w:val="000000"/>
                <w:szCs w:val="24"/>
                <w:lang w:val="en-US" w:eastAsia="de-CH"/>
              </w:rPr>
            </w:pPr>
            <w:r>
              <w:rPr>
                <w:rFonts w:eastAsia="Times New Roman" w:cs="Times New Roman"/>
                <w:color w:val="000000"/>
                <w:szCs w:val="24"/>
                <w:lang w:val="en-US" w:eastAsia="de-CH"/>
              </w:rPr>
              <w:t>&lt;0.001</w:t>
            </w:r>
          </w:p>
        </w:tc>
      </w:tr>
      <w:tr w:rsidR="00584561" w:rsidRPr="00584561" w14:paraId="2EFB0960"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53114887" w14:textId="77777777" w:rsidR="00584561" w:rsidRPr="00584561" w:rsidRDefault="00584561" w:rsidP="00584561">
            <w:pPr>
              <w:spacing w:after="0" w:line="240" w:lineRule="auto"/>
              <w:jc w:val="left"/>
              <w:rPr>
                <w:rFonts w:eastAsia="Times New Roman" w:cs="Times New Roman"/>
                <w:color w:val="000000"/>
                <w:szCs w:val="24"/>
                <w:lang w:eastAsia="de-CH"/>
              </w:rPr>
            </w:pPr>
            <w:r w:rsidRPr="00584561">
              <w:rPr>
                <w:rFonts w:eastAsia="Times New Roman" w:cs="Times New Roman"/>
                <w:color w:val="000000"/>
                <w:szCs w:val="24"/>
                <w:lang w:eastAsia="de-CH"/>
              </w:rPr>
              <w:t>Coronary revascularisation in 30days, n (%)</w:t>
            </w:r>
          </w:p>
        </w:tc>
        <w:tc>
          <w:tcPr>
            <w:tcW w:w="2040" w:type="dxa"/>
            <w:tcBorders>
              <w:top w:val="nil"/>
              <w:left w:val="nil"/>
              <w:bottom w:val="dotted" w:sz="4" w:space="0" w:color="auto"/>
              <w:right w:val="nil"/>
            </w:tcBorders>
            <w:shd w:val="clear" w:color="auto" w:fill="auto"/>
            <w:noWrap/>
            <w:vAlign w:val="center"/>
            <w:hideMark/>
          </w:tcPr>
          <w:p w14:paraId="5918517C"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207 (56.6)</w:t>
            </w:r>
          </w:p>
        </w:tc>
        <w:tc>
          <w:tcPr>
            <w:tcW w:w="2040" w:type="dxa"/>
            <w:tcBorders>
              <w:top w:val="nil"/>
              <w:left w:val="nil"/>
              <w:bottom w:val="dotted" w:sz="4" w:space="0" w:color="auto"/>
              <w:right w:val="nil"/>
            </w:tcBorders>
            <w:shd w:val="clear" w:color="auto" w:fill="auto"/>
            <w:noWrap/>
            <w:vAlign w:val="center"/>
            <w:hideMark/>
          </w:tcPr>
          <w:p w14:paraId="14FAF836"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410 (65.9)</w:t>
            </w:r>
          </w:p>
        </w:tc>
        <w:tc>
          <w:tcPr>
            <w:tcW w:w="1840" w:type="dxa"/>
            <w:tcBorders>
              <w:top w:val="nil"/>
              <w:left w:val="nil"/>
              <w:bottom w:val="dotted" w:sz="4" w:space="0" w:color="auto"/>
              <w:right w:val="dotted" w:sz="4" w:space="0" w:color="auto"/>
            </w:tcBorders>
            <w:shd w:val="clear" w:color="auto" w:fill="auto"/>
            <w:noWrap/>
            <w:vAlign w:val="center"/>
            <w:hideMark/>
          </w:tcPr>
          <w:p w14:paraId="7B10F440"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0.003</w:t>
            </w:r>
          </w:p>
        </w:tc>
        <w:tc>
          <w:tcPr>
            <w:tcW w:w="1840" w:type="dxa"/>
            <w:tcBorders>
              <w:top w:val="nil"/>
              <w:left w:val="nil"/>
              <w:bottom w:val="dotted" w:sz="4" w:space="0" w:color="auto"/>
              <w:right w:val="nil"/>
            </w:tcBorders>
            <w:shd w:val="clear" w:color="auto" w:fill="auto"/>
            <w:noWrap/>
            <w:vAlign w:val="center"/>
            <w:hideMark/>
          </w:tcPr>
          <w:p w14:paraId="547723C6"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7 (0.3)</w:t>
            </w:r>
          </w:p>
        </w:tc>
        <w:tc>
          <w:tcPr>
            <w:tcW w:w="1840" w:type="dxa"/>
            <w:tcBorders>
              <w:top w:val="nil"/>
              <w:left w:val="nil"/>
              <w:bottom w:val="dotted" w:sz="4" w:space="0" w:color="auto"/>
              <w:right w:val="nil"/>
            </w:tcBorders>
            <w:shd w:val="clear" w:color="auto" w:fill="auto"/>
            <w:noWrap/>
            <w:vAlign w:val="center"/>
            <w:hideMark/>
          </w:tcPr>
          <w:p w14:paraId="79A44BC0"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r>
      <w:tr w:rsidR="00584561" w:rsidRPr="00584561" w14:paraId="08F80C17"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6FA36EAE"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PCI, n (%)</w:t>
            </w:r>
          </w:p>
        </w:tc>
        <w:tc>
          <w:tcPr>
            <w:tcW w:w="2040" w:type="dxa"/>
            <w:tcBorders>
              <w:top w:val="nil"/>
              <w:left w:val="nil"/>
              <w:bottom w:val="dotted" w:sz="4" w:space="0" w:color="auto"/>
              <w:right w:val="nil"/>
            </w:tcBorders>
            <w:shd w:val="clear" w:color="auto" w:fill="auto"/>
            <w:noWrap/>
            <w:vAlign w:val="center"/>
            <w:hideMark/>
          </w:tcPr>
          <w:p w14:paraId="6BD9FC00"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196 (53.6)</w:t>
            </w:r>
          </w:p>
        </w:tc>
        <w:tc>
          <w:tcPr>
            <w:tcW w:w="2040" w:type="dxa"/>
            <w:tcBorders>
              <w:top w:val="nil"/>
              <w:left w:val="nil"/>
              <w:bottom w:val="dotted" w:sz="4" w:space="0" w:color="auto"/>
              <w:right w:val="nil"/>
            </w:tcBorders>
            <w:shd w:val="clear" w:color="auto" w:fill="auto"/>
            <w:noWrap/>
            <w:vAlign w:val="center"/>
            <w:hideMark/>
          </w:tcPr>
          <w:p w14:paraId="24A57055"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387 (62.2)</w:t>
            </w:r>
          </w:p>
        </w:tc>
        <w:tc>
          <w:tcPr>
            <w:tcW w:w="1840" w:type="dxa"/>
            <w:tcBorders>
              <w:top w:val="nil"/>
              <w:left w:val="nil"/>
              <w:bottom w:val="dotted" w:sz="4" w:space="0" w:color="auto"/>
              <w:right w:val="dotted" w:sz="4" w:space="0" w:color="auto"/>
            </w:tcBorders>
            <w:shd w:val="clear" w:color="auto" w:fill="auto"/>
            <w:noWrap/>
            <w:vAlign w:val="center"/>
            <w:hideMark/>
          </w:tcPr>
          <w:p w14:paraId="79D328BE"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0.009</w:t>
            </w:r>
          </w:p>
        </w:tc>
        <w:tc>
          <w:tcPr>
            <w:tcW w:w="1840" w:type="dxa"/>
            <w:tcBorders>
              <w:top w:val="nil"/>
              <w:left w:val="nil"/>
              <w:bottom w:val="dotted" w:sz="4" w:space="0" w:color="auto"/>
              <w:right w:val="nil"/>
            </w:tcBorders>
            <w:shd w:val="clear" w:color="auto" w:fill="auto"/>
            <w:noWrap/>
            <w:vAlign w:val="center"/>
            <w:hideMark/>
          </w:tcPr>
          <w:p w14:paraId="34CF063F"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7 (0.3)</w:t>
            </w:r>
          </w:p>
        </w:tc>
        <w:tc>
          <w:tcPr>
            <w:tcW w:w="1840" w:type="dxa"/>
            <w:tcBorders>
              <w:top w:val="nil"/>
              <w:left w:val="nil"/>
              <w:bottom w:val="dotted" w:sz="4" w:space="0" w:color="auto"/>
              <w:right w:val="nil"/>
            </w:tcBorders>
            <w:shd w:val="clear" w:color="auto" w:fill="auto"/>
            <w:noWrap/>
            <w:vAlign w:val="center"/>
            <w:hideMark/>
          </w:tcPr>
          <w:p w14:paraId="052F7715"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r>
      <w:tr w:rsidR="00584561" w:rsidRPr="00584561" w14:paraId="28BD320E"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2EF48F52"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Coronary</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bypass</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surgery</w:t>
            </w:r>
            <w:proofErr w:type="spellEnd"/>
            <w:r w:rsidRPr="00584561">
              <w:rPr>
                <w:rFonts w:eastAsia="Times New Roman" w:cs="Times New Roman"/>
                <w:color w:val="000000"/>
                <w:szCs w:val="24"/>
                <w:lang w:val="de-CH" w:eastAsia="de-CH"/>
              </w:rPr>
              <w:t>, n (%)</w:t>
            </w:r>
          </w:p>
        </w:tc>
        <w:tc>
          <w:tcPr>
            <w:tcW w:w="2040" w:type="dxa"/>
            <w:tcBorders>
              <w:top w:val="nil"/>
              <w:left w:val="nil"/>
              <w:bottom w:val="dotted" w:sz="4" w:space="0" w:color="auto"/>
              <w:right w:val="nil"/>
            </w:tcBorders>
            <w:shd w:val="clear" w:color="auto" w:fill="auto"/>
            <w:noWrap/>
            <w:vAlign w:val="center"/>
            <w:hideMark/>
          </w:tcPr>
          <w:p w14:paraId="772B02C5"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11 (3)</w:t>
            </w:r>
          </w:p>
        </w:tc>
        <w:tc>
          <w:tcPr>
            <w:tcW w:w="2040" w:type="dxa"/>
            <w:tcBorders>
              <w:top w:val="nil"/>
              <w:left w:val="nil"/>
              <w:bottom w:val="dotted" w:sz="4" w:space="0" w:color="auto"/>
              <w:right w:val="nil"/>
            </w:tcBorders>
            <w:shd w:val="clear" w:color="auto" w:fill="auto"/>
            <w:noWrap/>
            <w:vAlign w:val="center"/>
            <w:hideMark/>
          </w:tcPr>
          <w:p w14:paraId="4816326E"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23 (3.7)</w:t>
            </w:r>
          </w:p>
        </w:tc>
        <w:tc>
          <w:tcPr>
            <w:tcW w:w="1840" w:type="dxa"/>
            <w:tcBorders>
              <w:top w:val="nil"/>
              <w:left w:val="nil"/>
              <w:bottom w:val="dotted" w:sz="4" w:space="0" w:color="auto"/>
              <w:right w:val="dotted" w:sz="4" w:space="0" w:color="auto"/>
            </w:tcBorders>
            <w:shd w:val="clear" w:color="auto" w:fill="auto"/>
            <w:noWrap/>
            <w:vAlign w:val="center"/>
            <w:hideMark/>
          </w:tcPr>
          <w:p w14:paraId="16999156"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0.718</w:t>
            </w:r>
          </w:p>
        </w:tc>
        <w:tc>
          <w:tcPr>
            <w:tcW w:w="1840" w:type="dxa"/>
            <w:tcBorders>
              <w:top w:val="nil"/>
              <w:left w:val="nil"/>
              <w:bottom w:val="dotted" w:sz="4" w:space="0" w:color="auto"/>
              <w:right w:val="nil"/>
            </w:tcBorders>
            <w:shd w:val="clear" w:color="auto" w:fill="auto"/>
            <w:noWrap/>
            <w:vAlign w:val="center"/>
            <w:hideMark/>
          </w:tcPr>
          <w:p w14:paraId="1C694EE2"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 (0)</w:t>
            </w:r>
          </w:p>
        </w:tc>
        <w:tc>
          <w:tcPr>
            <w:tcW w:w="1840" w:type="dxa"/>
            <w:tcBorders>
              <w:top w:val="nil"/>
              <w:left w:val="nil"/>
              <w:bottom w:val="dotted" w:sz="4" w:space="0" w:color="auto"/>
              <w:right w:val="nil"/>
            </w:tcBorders>
            <w:shd w:val="clear" w:color="auto" w:fill="auto"/>
            <w:noWrap/>
            <w:vAlign w:val="center"/>
            <w:hideMark/>
          </w:tcPr>
          <w:p w14:paraId="0F040840"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r>
      <w:tr w:rsidR="00584561" w:rsidRPr="00584561" w14:paraId="1792883B"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7D35FC67"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Coronary</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stenosis</w:t>
            </w:r>
            <w:proofErr w:type="spellEnd"/>
            <w:r w:rsidRPr="00584561">
              <w:rPr>
                <w:rFonts w:eastAsia="Times New Roman" w:cs="Times New Roman"/>
                <w:color w:val="000000"/>
                <w:szCs w:val="24"/>
                <w:lang w:val="de-CH" w:eastAsia="de-CH"/>
              </w:rPr>
              <w:t xml:space="preserve"> &lt;75%, n (%)</w:t>
            </w:r>
          </w:p>
        </w:tc>
        <w:tc>
          <w:tcPr>
            <w:tcW w:w="2040" w:type="dxa"/>
            <w:tcBorders>
              <w:top w:val="nil"/>
              <w:left w:val="nil"/>
              <w:bottom w:val="dotted" w:sz="4" w:space="0" w:color="auto"/>
              <w:right w:val="nil"/>
            </w:tcBorders>
            <w:shd w:val="clear" w:color="auto" w:fill="auto"/>
            <w:noWrap/>
            <w:vAlign w:val="center"/>
            <w:hideMark/>
          </w:tcPr>
          <w:p w14:paraId="1B20F9E6"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25 (12.2)</w:t>
            </w:r>
          </w:p>
        </w:tc>
        <w:tc>
          <w:tcPr>
            <w:tcW w:w="2040" w:type="dxa"/>
            <w:tcBorders>
              <w:top w:val="nil"/>
              <w:left w:val="nil"/>
              <w:bottom w:val="dotted" w:sz="4" w:space="0" w:color="auto"/>
              <w:right w:val="nil"/>
            </w:tcBorders>
            <w:shd w:val="clear" w:color="auto" w:fill="auto"/>
            <w:noWrap/>
            <w:vAlign w:val="center"/>
            <w:hideMark/>
          </w:tcPr>
          <w:p w14:paraId="5B1FB768"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17 (4.2)</w:t>
            </w:r>
          </w:p>
        </w:tc>
        <w:tc>
          <w:tcPr>
            <w:tcW w:w="1840" w:type="dxa"/>
            <w:vMerge w:val="restart"/>
            <w:tcBorders>
              <w:top w:val="nil"/>
              <w:left w:val="nil"/>
              <w:bottom w:val="dotted" w:sz="4" w:space="0" w:color="000000"/>
              <w:right w:val="dotted" w:sz="4" w:space="0" w:color="auto"/>
            </w:tcBorders>
            <w:shd w:val="clear" w:color="auto" w:fill="auto"/>
            <w:noWrap/>
            <w:vAlign w:val="center"/>
            <w:hideMark/>
          </w:tcPr>
          <w:p w14:paraId="6ACBFC3A"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c>
          <w:tcPr>
            <w:tcW w:w="1840" w:type="dxa"/>
            <w:tcBorders>
              <w:top w:val="nil"/>
              <w:left w:val="nil"/>
              <w:bottom w:val="dotted" w:sz="4" w:space="0" w:color="auto"/>
              <w:right w:val="nil"/>
            </w:tcBorders>
            <w:shd w:val="clear" w:color="auto" w:fill="auto"/>
            <w:noWrap/>
            <w:vAlign w:val="center"/>
            <w:hideMark/>
          </w:tcPr>
          <w:p w14:paraId="2E98290B"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4 (-)</w:t>
            </w:r>
          </w:p>
        </w:tc>
        <w:tc>
          <w:tcPr>
            <w:tcW w:w="1840" w:type="dxa"/>
            <w:vMerge w:val="restart"/>
            <w:tcBorders>
              <w:top w:val="nil"/>
              <w:left w:val="nil"/>
              <w:bottom w:val="dotted" w:sz="4" w:space="0" w:color="000000"/>
              <w:right w:val="nil"/>
            </w:tcBorders>
            <w:shd w:val="clear" w:color="auto" w:fill="auto"/>
            <w:noWrap/>
            <w:vAlign w:val="center"/>
            <w:hideMark/>
          </w:tcPr>
          <w:p w14:paraId="1E6B5B19"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w:t>
            </w:r>
          </w:p>
        </w:tc>
      </w:tr>
      <w:tr w:rsidR="00584561" w:rsidRPr="00584561" w14:paraId="45E31BAE"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6B80F11C"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Coronary</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stenosis</w:t>
            </w:r>
            <w:proofErr w:type="spellEnd"/>
            <w:r w:rsidRPr="00584561">
              <w:rPr>
                <w:rFonts w:eastAsia="Times New Roman" w:cs="Times New Roman"/>
                <w:color w:val="000000"/>
                <w:szCs w:val="24"/>
                <w:lang w:val="de-CH" w:eastAsia="de-CH"/>
              </w:rPr>
              <w:t xml:space="preserve"> ≥75-99%, n (%)</w:t>
            </w:r>
          </w:p>
        </w:tc>
        <w:tc>
          <w:tcPr>
            <w:tcW w:w="2040" w:type="dxa"/>
            <w:tcBorders>
              <w:top w:val="nil"/>
              <w:left w:val="nil"/>
              <w:bottom w:val="dotted" w:sz="4" w:space="0" w:color="auto"/>
              <w:right w:val="nil"/>
            </w:tcBorders>
            <w:shd w:val="clear" w:color="auto" w:fill="auto"/>
            <w:noWrap/>
            <w:vAlign w:val="center"/>
            <w:hideMark/>
          </w:tcPr>
          <w:p w14:paraId="4CAEA96B"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151 (73.7)</w:t>
            </w:r>
          </w:p>
        </w:tc>
        <w:tc>
          <w:tcPr>
            <w:tcW w:w="2040" w:type="dxa"/>
            <w:tcBorders>
              <w:top w:val="nil"/>
              <w:left w:val="nil"/>
              <w:bottom w:val="dotted" w:sz="4" w:space="0" w:color="auto"/>
              <w:right w:val="nil"/>
            </w:tcBorders>
            <w:shd w:val="clear" w:color="auto" w:fill="auto"/>
            <w:noWrap/>
            <w:vAlign w:val="center"/>
            <w:hideMark/>
          </w:tcPr>
          <w:p w14:paraId="63A65D70"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272 (67.2)</w:t>
            </w:r>
          </w:p>
        </w:tc>
        <w:tc>
          <w:tcPr>
            <w:tcW w:w="1840" w:type="dxa"/>
            <w:vMerge/>
            <w:tcBorders>
              <w:top w:val="nil"/>
              <w:left w:val="nil"/>
              <w:bottom w:val="dotted" w:sz="4" w:space="0" w:color="000000"/>
              <w:right w:val="dotted" w:sz="4" w:space="0" w:color="auto"/>
            </w:tcBorders>
            <w:vAlign w:val="center"/>
            <w:hideMark/>
          </w:tcPr>
          <w:p w14:paraId="005B7D4A"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c>
          <w:tcPr>
            <w:tcW w:w="1840" w:type="dxa"/>
            <w:tcBorders>
              <w:top w:val="nil"/>
              <w:left w:val="nil"/>
              <w:bottom w:val="dotted" w:sz="4" w:space="0" w:color="auto"/>
              <w:right w:val="nil"/>
            </w:tcBorders>
            <w:shd w:val="clear" w:color="auto" w:fill="auto"/>
            <w:noWrap/>
            <w:vAlign w:val="center"/>
            <w:hideMark/>
          </w:tcPr>
          <w:p w14:paraId="50E22D10"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3 (-)</w:t>
            </w:r>
          </w:p>
        </w:tc>
        <w:tc>
          <w:tcPr>
            <w:tcW w:w="1840" w:type="dxa"/>
            <w:vMerge/>
            <w:tcBorders>
              <w:top w:val="nil"/>
              <w:left w:val="nil"/>
              <w:bottom w:val="dotted" w:sz="4" w:space="0" w:color="000000"/>
              <w:right w:val="nil"/>
            </w:tcBorders>
            <w:vAlign w:val="center"/>
            <w:hideMark/>
          </w:tcPr>
          <w:p w14:paraId="0FE7ACF6"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r>
      <w:tr w:rsidR="00584561" w:rsidRPr="00584561" w14:paraId="38A6A1E6"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34A9B289"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Coronary</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occlusion</w:t>
            </w:r>
            <w:proofErr w:type="spellEnd"/>
            <w:r w:rsidRPr="00584561">
              <w:rPr>
                <w:rFonts w:eastAsia="Times New Roman" w:cs="Times New Roman"/>
                <w:color w:val="000000"/>
                <w:szCs w:val="24"/>
                <w:lang w:val="de-CH" w:eastAsia="de-CH"/>
              </w:rPr>
              <w:t>, n (%)</w:t>
            </w:r>
          </w:p>
        </w:tc>
        <w:tc>
          <w:tcPr>
            <w:tcW w:w="2040" w:type="dxa"/>
            <w:tcBorders>
              <w:top w:val="nil"/>
              <w:left w:val="nil"/>
              <w:bottom w:val="dotted" w:sz="4" w:space="0" w:color="auto"/>
              <w:right w:val="nil"/>
            </w:tcBorders>
            <w:shd w:val="clear" w:color="auto" w:fill="auto"/>
            <w:noWrap/>
            <w:vAlign w:val="center"/>
            <w:hideMark/>
          </w:tcPr>
          <w:p w14:paraId="6D3300D1"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29 (14.1)</w:t>
            </w:r>
          </w:p>
        </w:tc>
        <w:tc>
          <w:tcPr>
            <w:tcW w:w="2040" w:type="dxa"/>
            <w:tcBorders>
              <w:top w:val="nil"/>
              <w:left w:val="nil"/>
              <w:bottom w:val="dotted" w:sz="4" w:space="0" w:color="auto"/>
              <w:right w:val="nil"/>
            </w:tcBorders>
            <w:shd w:val="clear" w:color="auto" w:fill="auto"/>
            <w:noWrap/>
            <w:vAlign w:val="center"/>
            <w:hideMark/>
          </w:tcPr>
          <w:p w14:paraId="58B343F7"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116 (28.6)</w:t>
            </w:r>
          </w:p>
        </w:tc>
        <w:tc>
          <w:tcPr>
            <w:tcW w:w="1840" w:type="dxa"/>
            <w:vMerge/>
            <w:tcBorders>
              <w:top w:val="nil"/>
              <w:left w:val="nil"/>
              <w:bottom w:val="dotted" w:sz="4" w:space="0" w:color="000000"/>
              <w:right w:val="dotted" w:sz="4" w:space="0" w:color="auto"/>
            </w:tcBorders>
            <w:vAlign w:val="center"/>
            <w:hideMark/>
          </w:tcPr>
          <w:p w14:paraId="7043461A"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c>
          <w:tcPr>
            <w:tcW w:w="1840" w:type="dxa"/>
            <w:tcBorders>
              <w:top w:val="nil"/>
              <w:left w:val="nil"/>
              <w:bottom w:val="dotted" w:sz="4" w:space="0" w:color="auto"/>
              <w:right w:val="nil"/>
            </w:tcBorders>
            <w:shd w:val="clear" w:color="auto" w:fill="auto"/>
            <w:noWrap/>
            <w:vAlign w:val="center"/>
            <w:hideMark/>
          </w:tcPr>
          <w:p w14:paraId="5FE53872"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 (-)</w:t>
            </w:r>
          </w:p>
        </w:tc>
        <w:tc>
          <w:tcPr>
            <w:tcW w:w="1840" w:type="dxa"/>
            <w:vMerge/>
            <w:tcBorders>
              <w:top w:val="nil"/>
              <w:left w:val="nil"/>
              <w:bottom w:val="dotted" w:sz="4" w:space="0" w:color="000000"/>
              <w:right w:val="nil"/>
            </w:tcBorders>
            <w:vAlign w:val="center"/>
            <w:hideMark/>
          </w:tcPr>
          <w:p w14:paraId="77B367EB" w14:textId="77777777" w:rsidR="00584561" w:rsidRPr="00584561" w:rsidRDefault="00584561" w:rsidP="00584561">
            <w:pPr>
              <w:spacing w:after="0" w:line="240" w:lineRule="auto"/>
              <w:jc w:val="left"/>
              <w:rPr>
                <w:rFonts w:eastAsia="Times New Roman" w:cs="Times New Roman"/>
                <w:color w:val="000000"/>
                <w:szCs w:val="24"/>
                <w:lang w:val="de-CH" w:eastAsia="de-CH"/>
              </w:rPr>
            </w:pPr>
          </w:p>
        </w:tc>
      </w:tr>
      <w:tr w:rsidR="00584561" w:rsidRPr="00584561" w14:paraId="1CB9CC29"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6B9DD43C" w14:textId="77777777" w:rsidR="00584561" w:rsidRPr="00584561" w:rsidRDefault="00584561" w:rsidP="00584561">
            <w:pPr>
              <w:spacing w:after="0" w:line="240" w:lineRule="auto"/>
              <w:jc w:val="left"/>
              <w:rPr>
                <w:rFonts w:eastAsia="Times New Roman" w:cs="Times New Roman"/>
                <w:color w:val="000000"/>
                <w:szCs w:val="24"/>
                <w:lang w:eastAsia="de-CH"/>
              </w:rPr>
            </w:pPr>
            <w:r w:rsidRPr="00584561">
              <w:rPr>
                <w:rFonts w:eastAsia="Times New Roman" w:cs="Times New Roman"/>
                <w:color w:val="000000"/>
                <w:szCs w:val="24"/>
                <w:lang w:eastAsia="de-CH"/>
              </w:rPr>
              <w:t>Coronary intervention in one year, n (%)</w:t>
            </w:r>
          </w:p>
        </w:tc>
        <w:tc>
          <w:tcPr>
            <w:tcW w:w="2040" w:type="dxa"/>
            <w:tcBorders>
              <w:top w:val="nil"/>
              <w:left w:val="nil"/>
              <w:bottom w:val="dotted" w:sz="4" w:space="0" w:color="auto"/>
              <w:right w:val="nil"/>
            </w:tcBorders>
            <w:shd w:val="clear" w:color="auto" w:fill="auto"/>
            <w:noWrap/>
            <w:vAlign w:val="center"/>
            <w:hideMark/>
          </w:tcPr>
          <w:p w14:paraId="20E40047"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238 (65)</w:t>
            </w:r>
          </w:p>
        </w:tc>
        <w:tc>
          <w:tcPr>
            <w:tcW w:w="2040" w:type="dxa"/>
            <w:tcBorders>
              <w:top w:val="nil"/>
              <w:left w:val="nil"/>
              <w:bottom w:val="dotted" w:sz="4" w:space="0" w:color="auto"/>
              <w:right w:val="nil"/>
            </w:tcBorders>
            <w:shd w:val="clear" w:color="auto" w:fill="auto"/>
            <w:noWrap/>
            <w:vAlign w:val="center"/>
            <w:hideMark/>
          </w:tcPr>
          <w:p w14:paraId="65EB6EA5"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413 (66.4)</w:t>
            </w:r>
          </w:p>
        </w:tc>
        <w:tc>
          <w:tcPr>
            <w:tcW w:w="1840" w:type="dxa"/>
            <w:tcBorders>
              <w:top w:val="nil"/>
              <w:left w:val="nil"/>
              <w:bottom w:val="dotted" w:sz="4" w:space="0" w:color="auto"/>
              <w:right w:val="dotted" w:sz="4" w:space="0" w:color="auto"/>
            </w:tcBorders>
            <w:shd w:val="clear" w:color="auto" w:fill="auto"/>
            <w:noWrap/>
            <w:vAlign w:val="center"/>
            <w:hideMark/>
          </w:tcPr>
          <w:p w14:paraId="14009B64"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0.677</w:t>
            </w:r>
          </w:p>
        </w:tc>
        <w:tc>
          <w:tcPr>
            <w:tcW w:w="1840" w:type="dxa"/>
            <w:tcBorders>
              <w:top w:val="nil"/>
              <w:left w:val="nil"/>
              <w:bottom w:val="dotted" w:sz="4" w:space="0" w:color="auto"/>
              <w:right w:val="nil"/>
            </w:tcBorders>
            <w:shd w:val="clear" w:color="auto" w:fill="auto"/>
            <w:noWrap/>
            <w:vAlign w:val="center"/>
            <w:hideMark/>
          </w:tcPr>
          <w:p w14:paraId="765610EF"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26 (1.2)</w:t>
            </w:r>
          </w:p>
        </w:tc>
        <w:tc>
          <w:tcPr>
            <w:tcW w:w="1840" w:type="dxa"/>
            <w:tcBorders>
              <w:top w:val="nil"/>
              <w:left w:val="nil"/>
              <w:bottom w:val="dotted" w:sz="4" w:space="0" w:color="auto"/>
              <w:right w:val="nil"/>
            </w:tcBorders>
            <w:shd w:val="clear" w:color="auto" w:fill="auto"/>
            <w:noWrap/>
            <w:vAlign w:val="center"/>
            <w:hideMark/>
          </w:tcPr>
          <w:p w14:paraId="5ED49736"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r>
      <w:tr w:rsidR="00584561" w:rsidRPr="00584561" w14:paraId="58420678" w14:textId="77777777" w:rsidTr="00584561">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1ED9F6B2" w14:textId="77777777" w:rsidR="00584561" w:rsidRPr="00584561" w:rsidRDefault="00584561" w:rsidP="00584561">
            <w:pPr>
              <w:spacing w:after="0" w:line="240" w:lineRule="auto"/>
              <w:jc w:val="left"/>
              <w:rPr>
                <w:rFonts w:eastAsia="Times New Roman" w:cs="Times New Roman"/>
                <w:color w:val="000000"/>
                <w:szCs w:val="24"/>
                <w:lang w:eastAsia="de-CH"/>
              </w:rPr>
            </w:pPr>
            <w:r w:rsidRPr="00584561">
              <w:rPr>
                <w:rFonts w:eastAsia="Times New Roman" w:cs="Times New Roman"/>
                <w:color w:val="000000"/>
                <w:szCs w:val="24"/>
                <w:lang w:eastAsia="de-CH"/>
              </w:rPr>
              <w:t>Stress testing performed in 30 days</w:t>
            </w:r>
          </w:p>
        </w:tc>
        <w:tc>
          <w:tcPr>
            <w:tcW w:w="2040" w:type="dxa"/>
            <w:tcBorders>
              <w:top w:val="nil"/>
              <w:left w:val="nil"/>
              <w:bottom w:val="dotted" w:sz="4" w:space="0" w:color="auto"/>
              <w:right w:val="nil"/>
            </w:tcBorders>
            <w:shd w:val="clear" w:color="auto" w:fill="auto"/>
            <w:noWrap/>
            <w:vAlign w:val="center"/>
            <w:hideMark/>
          </w:tcPr>
          <w:p w14:paraId="2AD9CE2D"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143 (39.1)</w:t>
            </w:r>
          </w:p>
        </w:tc>
        <w:tc>
          <w:tcPr>
            <w:tcW w:w="2040" w:type="dxa"/>
            <w:tcBorders>
              <w:top w:val="nil"/>
              <w:left w:val="nil"/>
              <w:bottom w:val="dotted" w:sz="4" w:space="0" w:color="auto"/>
              <w:right w:val="nil"/>
            </w:tcBorders>
            <w:shd w:val="clear" w:color="auto" w:fill="auto"/>
            <w:noWrap/>
            <w:vAlign w:val="center"/>
            <w:hideMark/>
          </w:tcPr>
          <w:p w14:paraId="00C76114"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161 (25.9)</w:t>
            </w:r>
          </w:p>
        </w:tc>
        <w:tc>
          <w:tcPr>
            <w:tcW w:w="1840" w:type="dxa"/>
            <w:tcBorders>
              <w:top w:val="nil"/>
              <w:left w:val="nil"/>
              <w:bottom w:val="dotted" w:sz="4" w:space="0" w:color="auto"/>
              <w:right w:val="dotted" w:sz="4" w:space="0" w:color="auto"/>
            </w:tcBorders>
            <w:shd w:val="clear" w:color="auto" w:fill="auto"/>
            <w:noWrap/>
            <w:vAlign w:val="center"/>
            <w:hideMark/>
          </w:tcPr>
          <w:p w14:paraId="7BE3EFBD"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c>
          <w:tcPr>
            <w:tcW w:w="1840" w:type="dxa"/>
            <w:tcBorders>
              <w:top w:val="nil"/>
              <w:left w:val="nil"/>
              <w:bottom w:val="dotted" w:sz="4" w:space="0" w:color="auto"/>
              <w:right w:val="nil"/>
            </w:tcBorders>
            <w:shd w:val="clear" w:color="auto" w:fill="auto"/>
            <w:noWrap/>
            <w:vAlign w:val="center"/>
            <w:hideMark/>
          </w:tcPr>
          <w:p w14:paraId="72711DB2"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480 (22.4)</w:t>
            </w:r>
          </w:p>
        </w:tc>
        <w:tc>
          <w:tcPr>
            <w:tcW w:w="1840" w:type="dxa"/>
            <w:tcBorders>
              <w:top w:val="nil"/>
              <w:left w:val="nil"/>
              <w:bottom w:val="dotted" w:sz="4" w:space="0" w:color="auto"/>
              <w:right w:val="nil"/>
            </w:tcBorders>
            <w:shd w:val="clear" w:color="auto" w:fill="auto"/>
            <w:noWrap/>
            <w:vAlign w:val="center"/>
            <w:hideMark/>
          </w:tcPr>
          <w:p w14:paraId="788D1A97"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r>
      <w:tr w:rsidR="00584561" w:rsidRPr="00584561" w14:paraId="2288A3B6" w14:textId="77777777" w:rsidTr="00D04302">
        <w:trPr>
          <w:trHeight w:val="390"/>
        </w:trPr>
        <w:tc>
          <w:tcPr>
            <w:tcW w:w="4760" w:type="dxa"/>
            <w:tcBorders>
              <w:top w:val="nil"/>
              <w:left w:val="nil"/>
              <w:bottom w:val="dotted" w:sz="4" w:space="0" w:color="auto"/>
              <w:right w:val="single" w:sz="8" w:space="0" w:color="auto"/>
            </w:tcBorders>
            <w:shd w:val="clear" w:color="auto" w:fill="auto"/>
            <w:noWrap/>
            <w:vAlign w:val="center"/>
            <w:hideMark/>
          </w:tcPr>
          <w:p w14:paraId="77FF0DEB" w14:textId="04E8E21F"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Ergometry</w:t>
            </w:r>
            <w:proofErr w:type="spellEnd"/>
            <w:r w:rsidRPr="00584561">
              <w:rPr>
                <w:rFonts w:eastAsia="Times New Roman" w:cs="Times New Roman"/>
                <w:color w:val="000000"/>
                <w:szCs w:val="24"/>
                <w:lang w:val="de-CH" w:eastAsia="de-CH"/>
              </w:rPr>
              <w:t>, n (%)</w:t>
            </w:r>
          </w:p>
        </w:tc>
        <w:tc>
          <w:tcPr>
            <w:tcW w:w="2040" w:type="dxa"/>
            <w:tcBorders>
              <w:top w:val="nil"/>
              <w:left w:val="nil"/>
              <w:bottom w:val="dotted" w:sz="4" w:space="0" w:color="auto"/>
              <w:right w:val="nil"/>
            </w:tcBorders>
            <w:shd w:val="clear" w:color="auto" w:fill="auto"/>
            <w:noWrap/>
            <w:vAlign w:val="center"/>
            <w:hideMark/>
          </w:tcPr>
          <w:p w14:paraId="0EC5F8E5"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75 (20.5)</w:t>
            </w:r>
          </w:p>
        </w:tc>
        <w:tc>
          <w:tcPr>
            <w:tcW w:w="2040" w:type="dxa"/>
            <w:tcBorders>
              <w:top w:val="nil"/>
              <w:left w:val="nil"/>
              <w:bottom w:val="dotted" w:sz="4" w:space="0" w:color="auto"/>
              <w:right w:val="nil"/>
            </w:tcBorders>
            <w:shd w:val="clear" w:color="auto" w:fill="auto"/>
            <w:noWrap/>
            <w:vAlign w:val="center"/>
            <w:hideMark/>
          </w:tcPr>
          <w:p w14:paraId="5BEA1AB8"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116 (18.6)</w:t>
            </w:r>
          </w:p>
        </w:tc>
        <w:tc>
          <w:tcPr>
            <w:tcW w:w="1840" w:type="dxa"/>
            <w:tcBorders>
              <w:top w:val="nil"/>
              <w:left w:val="nil"/>
              <w:bottom w:val="dotted" w:sz="4" w:space="0" w:color="auto"/>
              <w:right w:val="dotted" w:sz="4" w:space="0" w:color="auto"/>
            </w:tcBorders>
            <w:shd w:val="clear" w:color="auto" w:fill="auto"/>
            <w:noWrap/>
            <w:vAlign w:val="center"/>
            <w:hideMark/>
          </w:tcPr>
          <w:p w14:paraId="3F0FE128"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0.505</w:t>
            </w:r>
          </w:p>
        </w:tc>
        <w:tc>
          <w:tcPr>
            <w:tcW w:w="1840" w:type="dxa"/>
            <w:tcBorders>
              <w:top w:val="nil"/>
              <w:left w:val="nil"/>
              <w:bottom w:val="dotted" w:sz="4" w:space="0" w:color="auto"/>
              <w:right w:val="nil"/>
            </w:tcBorders>
            <w:shd w:val="clear" w:color="auto" w:fill="auto"/>
            <w:noWrap/>
            <w:vAlign w:val="center"/>
            <w:hideMark/>
          </w:tcPr>
          <w:p w14:paraId="5F3D8CFA"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318 (14.8)</w:t>
            </w:r>
          </w:p>
        </w:tc>
        <w:tc>
          <w:tcPr>
            <w:tcW w:w="1840" w:type="dxa"/>
            <w:tcBorders>
              <w:top w:val="nil"/>
              <w:left w:val="nil"/>
              <w:bottom w:val="dotted" w:sz="4" w:space="0" w:color="auto"/>
              <w:right w:val="nil"/>
            </w:tcBorders>
            <w:shd w:val="clear" w:color="auto" w:fill="auto"/>
            <w:noWrap/>
            <w:vAlign w:val="center"/>
            <w:hideMark/>
          </w:tcPr>
          <w:p w14:paraId="57563DAB"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0.006</w:t>
            </w:r>
          </w:p>
        </w:tc>
      </w:tr>
      <w:tr w:rsidR="00584561" w:rsidRPr="00584561" w14:paraId="2FAFEE0F" w14:textId="77777777" w:rsidTr="00924D72">
        <w:trPr>
          <w:trHeight w:val="390"/>
        </w:trPr>
        <w:tc>
          <w:tcPr>
            <w:tcW w:w="4760" w:type="dxa"/>
            <w:tcBorders>
              <w:top w:val="dotted" w:sz="4" w:space="0" w:color="auto"/>
              <w:left w:val="nil"/>
              <w:bottom w:val="dotted" w:sz="4" w:space="0" w:color="auto"/>
              <w:right w:val="single" w:sz="8" w:space="0" w:color="auto"/>
            </w:tcBorders>
            <w:shd w:val="clear" w:color="auto" w:fill="auto"/>
            <w:noWrap/>
            <w:vAlign w:val="center"/>
            <w:hideMark/>
          </w:tcPr>
          <w:p w14:paraId="6EFD47BE" w14:textId="77777777" w:rsidR="00584561" w:rsidRPr="00584561" w:rsidRDefault="00584561" w:rsidP="00584561">
            <w:pPr>
              <w:spacing w:after="0" w:line="240" w:lineRule="auto"/>
              <w:jc w:val="left"/>
              <w:rPr>
                <w:rFonts w:eastAsia="Times New Roman" w:cs="Times New Roman"/>
                <w:color w:val="000000"/>
                <w:szCs w:val="24"/>
                <w:lang w:val="de-CH" w:eastAsia="de-CH"/>
              </w:rPr>
            </w:pPr>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Myocardial</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perfusion</w:t>
            </w:r>
            <w:proofErr w:type="spellEnd"/>
            <w:r w:rsidRPr="00584561">
              <w:rPr>
                <w:rFonts w:eastAsia="Times New Roman" w:cs="Times New Roman"/>
                <w:color w:val="000000"/>
                <w:szCs w:val="24"/>
                <w:lang w:val="de-CH" w:eastAsia="de-CH"/>
              </w:rPr>
              <w:t xml:space="preserve"> </w:t>
            </w:r>
            <w:proofErr w:type="spellStart"/>
            <w:r w:rsidRPr="00584561">
              <w:rPr>
                <w:rFonts w:eastAsia="Times New Roman" w:cs="Times New Roman"/>
                <w:color w:val="000000"/>
                <w:szCs w:val="24"/>
                <w:lang w:val="de-CH" w:eastAsia="de-CH"/>
              </w:rPr>
              <w:t>imaging</w:t>
            </w:r>
            <w:proofErr w:type="spellEnd"/>
            <w:r w:rsidRPr="00584561">
              <w:rPr>
                <w:rFonts w:eastAsia="Times New Roman" w:cs="Times New Roman"/>
                <w:color w:val="000000"/>
                <w:szCs w:val="24"/>
                <w:lang w:val="de-CH" w:eastAsia="de-CH"/>
              </w:rPr>
              <w:t>, n (%)</w:t>
            </w:r>
          </w:p>
        </w:tc>
        <w:tc>
          <w:tcPr>
            <w:tcW w:w="2040" w:type="dxa"/>
            <w:tcBorders>
              <w:top w:val="dotted" w:sz="4" w:space="0" w:color="auto"/>
              <w:left w:val="nil"/>
              <w:bottom w:val="dotted" w:sz="4" w:space="0" w:color="auto"/>
              <w:right w:val="nil"/>
            </w:tcBorders>
            <w:shd w:val="clear" w:color="auto" w:fill="auto"/>
            <w:noWrap/>
            <w:vAlign w:val="center"/>
            <w:hideMark/>
          </w:tcPr>
          <w:p w14:paraId="05B640EF"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94 (25.7)</w:t>
            </w:r>
          </w:p>
        </w:tc>
        <w:tc>
          <w:tcPr>
            <w:tcW w:w="2040" w:type="dxa"/>
            <w:tcBorders>
              <w:top w:val="dotted" w:sz="4" w:space="0" w:color="auto"/>
              <w:left w:val="nil"/>
              <w:bottom w:val="dotted" w:sz="4" w:space="0" w:color="auto"/>
              <w:right w:val="nil"/>
            </w:tcBorders>
            <w:shd w:val="clear" w:color="auto" w:fill="auto"/>
            <w:noWrap/>
            <w:vAlign w:val="center"/>
            <w:hideMark/>
          </w:tcPr>
          <w:p w14:paraId="3BE5BC82"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60 (9.6)</w:t>
            </w:r>
          </w:p>
        </w:tc>
        <w:tc>
          <w:tcPr>
            <w:tcW w:w="1840" w:type="dxa"/>
            <w:tcBorders>
              <w:top w:val="dotted" w:sz="4" w:space="0" w:color="auto"/>
              <w:left w:val="nil"/>
              <w:bottom w:val="dotted" w:sz="4" w:space="0" w:color="auto"/>
              <w:right w:val="dotted" w:sz="4" w:space="0" w:color="auto"/>
            </w:tcBorders>
            <w:shd w:val="clear" w:color="auto" w:fill="auto"/>
            <w:noWrap/>
            <w:vAlign w:val="center"/>
            <w:hideMark/>
          </w:tcPr>
          <w:p w14:paraId="777D9D17"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c>
          <w:tcPr>
            <w:tcW w:w="1840" w:type="dxa"/>
            <w:tcBorders>
              <w:top w:val="dotted" w:sz="4" w:space="0" w:color="auto"/>
              <w:left w:val="nil"/>
              <w:bottom w:val="dotted" w:sz="4" w:space="0" w:color="auto"/>
              <w:right w:val="nil"/>
            </w:tcBorders>
            <w:shd w:val="clear" w:color="auto" w:fill="auto"/>
            <w:noWrap/>
            <w:vAlign w:val="center"/>
            <w:hideMark/>
          </w:tcPr>
          <w:p w14:paraId="290081B4"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195 (9.1)</w:t>
            </w:r>
          </w:p>
        </w:tc>
        <w:tc>
          <w:tcPr>
            <w:tcW w:w="1840" w:type="dxa"/>
            <w:tcBorders>
              <w:top w:val="dotted" w:sz="4" w:space="0" w:color="auto"/>
              <w:left w:val="nil"/>
              <w:bottom w:val="dotted" w:sz="4" w:space="0" w:color="auto"/>
              <w:right w:val="nil"/>
            </w:tcBorders>
            <w:shd w:val="clear" w:color="auto" w:fill="auto"/>
            <w:noWrap/>
            <w:vAlign w:val="center"/>
            <w:hideMark/>
          </w:tcPr>
          <w:p w14:paraId="137CA418" w14:textId="77777777" w:rsidR="00584561" w:rsidRPr="00584561" w:rsidRDefault="00584561" w:rsidP="00584561">
            <w:pPr>
              <w:spacing w:after="0" w:line="240" w:lineRule="auto"/>
              <w:jc w:val="center"/>
              <w:rPr>
                <w:rFonts w:eastAsia="Times New Roman" w:cs="Times New Roman"/>
                <w:color w:val="000000"/>
                <w:szCs w:val="24"/>
                <w:lang w:val="de-CH" w:eastAsia="de-CH"/>
              </w:rPr>
            </w:pPr>
            <w:r w:rsidRPr="00584561">
              <w:rPr>
                <w:rFonts w:eastAsia="Times New Roman" w:cs="Times New Roman"/>
                <w:color w:val="000000"/>
                <w:szCs w:val="24"/>
                <w:lang w:val="de-CH" w:eastAsia="de-CH"/>
              </w:rPr>
              <w:t>&lt;0.001</w:t>
            </w:r>
          </w:p>
        </w:tc>
      </w:tr>
      <w:tr w:rsidR="000B0310" w:rsidRPr="00584561" w14:paraId="386C15FE" w14:textId="77777777" w:rsidTr="00D04302">
        <w:trPr>
          <w:trHeight w:val="390"/>
        </w:trPr>
        <w:tc>
          <w:tcPr>
            <w:tcW w:w="4760" w:type="dxa"/>
            <w:tcBorders>
              <w:top w:val="dotted" w:sz="4" w:space="0" w:color="auto"/>
              <w:left w:val="nil"/>
              <w:bottom w:val="single" w:sz="4" w:space="0" w:color="auto"/>
              <w:right w:val="single" w:sz="8" w:space="0" w:color="auto"/>
            </w:tcBorders>
            <w:shd w:val="clear" w:color="auto" w:fill="auto"/>
            <w:noWrap/>
            <w:vAlign w:val="center"/>
          </w:tcPr>
          <w:p w14:paraId="15CE4F43" w14:textId="2D85CF15" w:rsidR="000B0310" w:rsidRPr="00584561" w:rsidRDefault="000B0310" w:rsidP="00584561">
            <w:pPr>
              <w:spacing w:after="0" w:line="240" w:lineRule="auto"/>
              <w:jc w:val="left"/>
              <w:rPr>
                <w:rFonts w:eastAsia="Times New Roman" w:cs="Times New Roman"/>
                <w:color w:val="000000"/>
                <w:szCs w:val="24"/>
                <w:lang w:val="de-CH" w:eastAsia="de-CH"/>
              </w:rPr>
            </w:pPr>
            <w:proofErr w:type="spellStart"/>
            <w:r>
              <w:rPr>
                <w:rFonts w:eastAsia="Times New Roman" w:cs="Times New Roman"/>
                <w:color w:val="000000"/>
                <w:szCs w:val="24"/>
                <w:lang w:val="de-CH" w:eastAsia="de-CH"/>
              </w:rPr>
              <w:t>Admitted</w:t>
            </w:r>
            <w:proofErr w:type="spellEnd"/>
            <w:r>
              <w:rPr>
                <w:rFonts w:eastAsia="Times New Roman" w:cs="Times New Roman"/>
                <w:color w:val="000000"/>
                <w:szCs w:val="24"/>
                <w:lang w:val="de-CH" w:eastAsia="de-CH"/>
              </w:rPr>
              <w:t xml:space="preserve"> </w:t>
            </w:r>
            <w:proofErr w:type="spellStart"/>
            <w:r>
              <w:rPr>
                <w:rFonts w:eastAsia="Times New Roman" w:cs="Times New Roman"/>
                <w:color w:val="000000"/>
                <w:szCs w:val="24"/>
                <w:lang w:val="de-CH" w:eastAsia="de-CH"/>
              </w:rPr>
              <w:t>for</w:t>
            </w:r>
            <w:proofErr w:type="spellEnd"/>
            <w:r>
              <w:rPr>
                <w:rFonts w:eastAsia="Times New Roman" w:cs="Times New Roman"/>
                <w:color w:val="000000"/>
                <w:szCs w:val="24"/>
                <w:lang w:val="de-CH" w:eastAsia="de-CH"/>
              </w:rPr>
              <w:t xml:space="preserve"> </w:t>
            </w:r>
            <w:r w:rsidR="00CF1E9A">
              <w:rPr>
                <w:rFonts w:eastAsia="Times New Roman" w:cs="Times New Roman"/>
                <w:color w:val="000000"/>
                <w:szCs w:val="24"/>
                <w:lang w:val="de-CH" w:eastAsia="de-CH"/>
              </w:rPr>
              <w:t>≥</w:t>
            </w:r>
            <w:r>
              <w:rPr>
                <w:rFonts w:eastAsia="Times New Roman" w:cs="Times New Roman"/>
                <w:color w:val="000000"/>
                <w:szCs w:val="24"/>
                <w:lang w:val="de-CH" w:eastAsia="de-CH"/>
              </w:rPr>
              <w:t xml:space="preserve">1 </w:t>
            </w:r>
            <w:proofErr w:type="spellStart"/>
            <w:r>
              <w:rPr>
                <w:rFonts w:eastAsia="Times New Roman" w:cs="Times New Roman"/>
                <w:color w:val="000000"/>
                <w:szCs w:val="24"/>
                <w:lang w:val="de-CH" w:eastAsia="de-CH"/>
              </w:rPr>
              <w:t>day</w:t>
            </w:r>
            <w:proofErr w:type="spellEnd"/>
          </w:p>
        </w:tc>
        <w:tc>
          <w:tcPr>
            <w:tcW w:w="2040" w:type="dxa"/>
            <w:tcBorders>
              <w:top w:val="dotted" w:sz="4" w:space="0" w:color="auto"/>
              <w:left w:val="nil"/>
              <w:bottom w:val="single" w:sz="4" w:space="0" w:color="auto"/>
              <w:right w:val="nil"/>
            </w:tcBorders>
            <w:shd w:val="clear" w:color="auto" w:fill="auto"/>
            <w:noWrap/>
            <w:vAlign w:val="center"/>
          </w:tcPr>
          <w:p w14:paraId="26C3893E" w14:textId="731DAB6D" w:rsidR="000B0310" w:rsidRPr="00584561" w:rsidRDefault="00CF1E9A" w:rsidP="00584561">
            <w:pPr>
              <w:spacing w:after="0" w:line="240" w:lineRule="auto"/>
              <w:jc w:val="center"/>
              <w:rPr>
                <w:rFonts w:eastAsia="Times New Roman" w:cs="Times New Roman"/>
                <w:color w:val="000000"/>
                <w:szCs w:val="24"/>
                <w:lang w:val="de-CH" w:eastAsia="de-CH"/>
              </w:rPr>
            </w:pPr>
            <w:r>
              <w:rPr>
                <w:rFonts w:eastAsia="Times New Roman" w:cs="Times New Roman"/>
                <w:color w:val="000000"/>
                <w:szCs w:val="24"/>
                <w:lang w:val="de-CH" w:eastAsia="de-CH"/>
              </w:rPr>
              <w:t>285 (77.9)</w:t>
            </w:r>
          </w:p>
        </w:tc>
        <w:tc>
          <w:tcPr>
            <w:tcW w:w="2040" w:type="dxa"/>
            <w:tcBorders>
              <w:top w:val="dotted" w:sz="4" w:space="0" w:color="auto"/>
              <w:left w:val="nil"/>
              <w:bottom w:val="single" w:sz="4" w:space="0" w:color="auto"/>
              <w:right w:val="nil"/>
            </w:tcBorders>
            <w:shd w:val="clear" w:color="auto" w:fill="auto"/>
            <w:noWrap/>
            <w:vAlign w:val="center"/>
          </w:tcPr>
          <w:p w14:paraId="3674E970" w14:textId="5153A0AE" w:rsidR="000B0310" w:rsidRPr="00584561" w:rsidRDefault="00CF1E9A" w:rsidP="00584561">
            <w:pPr>
              <w:spacing w:after="0" w:line="240" w:lineRule="auto"/>
              <w:jc w:val="center"/>
              <w:rPr>
                <w:rFonts w:eastAsia="Times New Roman" w:cs="Times New Roman"/>
                <w:color w:val="000000"/>
                <w:szCs w:val="24"/>
                <w:lang w:val="de-CH" w:eastAsia="de-CH"/>
              </w:rPr>
            </w:pPr>
            <w:r>
              <w:rPr>
                <w:rFonts w:eastAsia="Times New Roman" w:cs="Times New Roman"/>
                <w:color w:val="000000"/>
                <w:szCs w:val="24"/>
                <w:lang w:val="de-CH" w:eastAsia="de-CH"/>
              </w:rPr>
              <w:t>583 (93.7)</w:t>
            </w:r>
          </w:p>
        </w:tc>
        <w:tc>
          <w:tcPr>
            <w:tcW w:w="1840" w:type="dxa"/>
            <w:tcBorders>
              <w:top w:val="dotted" w:sz="4" w:space="0" w:color="auto"/>
              <w:left w:val="nil"/>
              <w:bottom w:val="single" w:sz="4" w:space="0" w:color="auto"/>
              <w:right w:val="dotted" w:sz="4" w:space="0" w:color="auto"/>
            </w:tcBorders>
            <w:shd w:val="clear" w:color="auto" w:fill="auto"/>
            <w:noWrap/>
            <w:vAlign w:val="center"/>
          </w:tcPr>
          <w:p w14:paraId="3E2C4654" w14:textId="614C3A63" w:rsidR="000B0310" w:rsidRPr="00584561" w:rsidRDefault="00CF1E9A" w:rsidP="00584561">
            <w:pPr>
              <w:spacing w:after="0" w:line="240" w:lineRule="auto"/>
              <w:jc w:val="center"/>
              <w:rPr>
                <w:rFonts w:eastAsia="Times New Roman" w:cs="Times New Roman"/>
                <w:color w:val="000000"/>
                <w:szCs w:val="24"/>
                <w:lang w:val="de-CH" w:eastAsia="de-CH"/>
              </w:rPr>
            </w:pPr>
            <w:r>
              <w:rPr>
                <w:rFonts w:eastAsia="Times New Roman" w:cs="Times New Roman"/>
                <w:color w:val="000000"/>
                <w:szCs w:val="24"/>
                <w:lang w:val="de-CH" w:eastAsia="de-CH"/>
              </w:rPr>
              <w:t>&lt;0.001</w:t>
            </w:r>
          </w:p>
        </w:tc>
        <w:tc>
          <w:tcPr>
            <w:tcW w:w="1840" w:type="dxa"/>
            <w:tcBorders>
              <w:top w:val="dotted" w:sz="4" w:space="0" w:color="auto"/>
              <w:left w:val="nil"/>
              <w:bottom w:val="single" w:sz="4" w:space="0" w:color="auto"/>
              <w:right w:val="nil"/>
            </w:tcBorders>
            <w:shd w:val="clear" w:color="auto" w:fill="auto"/>
            <w:noWrap/>
            <w:vAlign w:val="center"/>
          </w:tcPr>
          <w:p w14:paraId="4392D9C9" w14:textId="75EC4D2F" w:rsidR="000B0310" w:rsidRPr="00584561" w:rsidRDefault="00CF1E9A" w:rsidP="00584561">
            <w:pPr>
              <w:spacing w:after="0" w:line="240" w:lineRule="auto"/>
              <w:jc w:val="center"/>
              <w:rPr>
                <w:rFonts w:eastAsia="Times New Roman" w:cs="Times New Roman"/>
                <w:color w:val="000000"/>
                <w:szCs w:val="24"/>
                <w:lang w:val="de-CH" w:eastAsia="de-CH"/>
              </w:rPr>
            </w:pPr>
            <w:r>
              <w:rPr>
                <w:rFonts w:eastAsia="Times New Roman" w:cs="Times New Roman"/>
                <w:color w:val="000000"/>
                <w:szCs w:val="24"/>
                <w:lang w:val="de-CH" w:eastAsia="de-CH"/>
              </w:rPr>
              <w:t>619 (28.7)</w:t>
            </w:r>
          </w:p>
        </w:tc>
        <w:tc>
          <w:tcPr>
            <w:tcW w:w="1840" w:type="dxa"/>
            <w:tcBorders>
              <w:top w:val="dotted" w:sz="4" w:space="0" w:color="auto"/>
              <w:left w:val="nil"/>
              <w:bottom w:val="single" w:sz="4" w:space="0" w:color="auto"/>
              <w:right w:val="nil"/>
            </w:tcBorders>
            <w:shd w:val="clear" w:color="auto" w:fill="auto"/>
            <w:noWrap/>
            <w:vAlign w:val="center"/>
          </w:tcPr>
          <w:p w14:paraId="73B9C29E" w14:textId="0CD94D8B" w:rsidR="000B0310" w:rsidRPr="00584561" w:rsidRDefault="00CF1E9A" w:rsidP="00584561">
            <w:pPr>
              <w:spacing w:after="0" w:line="240" w:lineRule="auto"/>
              <w:jc w:val="center"/>
              <w:rPr>
                <w:rFonts w:eastAsia="Times New Roman" w:cs="Times New Roman"/>
                <w:color w:val="000000"/>
                <w:szCs w:val="24"/>
                <w:lang w:val="de-CH" w:eastAsia="de-CH"/>
              </w:rPr>
            </w:pPr>
            <w:r>
              <w:rPr>
                <w:rFonts w:eastAsia="Times New Roman" w:cs="Times New Roman"/>
                <w:color w:val="000000"/>
                <w:szCs w:val="24"/>
                <w:lang w:val="de-CH" w:eastAsia="de-CH"/>
              </w:rPr>
              <w:t>&lt;0.001</w:t>
            </w:r>
          </w:p>
        </w:tc>
      </w:tr>
    </w:tbl>
    <w:p w14:paraId="71322302" w14:textId="77777777" w:rsidR="00D43D6A" w:rsidRDefault="00D43D6A">
      <w:pPr>
        <w:spacing w:after="0" w:line="240" w:lineRule="auto"/>
        <w:jc w:val="left"/>
        <w:rPr>
          <w:b/>
          <w:color w:val="1A1718"/>
          <w:u w:val="single"/>
          <w:lang w:eastAsia="en-GB"/>
        </w:rPr>
      </w:pPr>
      <w:r>
        <w:rPr>
          <w:b/>
          <w:color w:val="1A1718"/>
          <w:u w:val="single"/>
          <w:lang w:eastAsia="en-GB"/>
        </w:rPr>
        <w:br w:type="page"/>
      </w:r>
    </w:p>
    <w:tbl>
      <w:tblPr>
        <w:tblW w:w="14360" w:type="dxa"/>
        <w:tblInd w:w="55" w:type="dxa"/>
        <w:tblCellMar>
          <w:left w:w="70" w:type="dxa"/>
          <w:right w:w="70" w:type="dxa"/>
        </w:tblCellMar>
        <w:tblLook w:val="04A0" w:firstRow="1" w:lastRow="0" w:firstColumn="1" w:lastColumn="0" w:noHBand="0" w:noVBand="1"/>
      </w:tblPr>
      <w:tblGrid>
        <w:gridCol w:w="4760"/>
        <w:gridCol w:w="2040"/>
        <w:gridCol w:w="2040"/>
        <w:gridCol w:w="1840"/>
        <w:gridCol w:w="1840"/>
        <w:gridCol w:w="1840"/>
      </w:tblGrid>
      <w:tr w:rsidR="00032331" w:rsidRPr="00143100" w14:paraId="5F6C8A7F" w14:textId="77777777" w:rsidTr="00D04302">
        <w:trPr>
          <w:trHeight w:val="720"/>
        </w:trPr>
        <w:tc>
          <w:tcPr>
            <w:tcW w:w="4760" w:type="dxa"/>
            <w:tcBorders>
              <w:top w:val="nil"/>
              <w:left w:val="nil"/>
              <w:bottom w:val="single" w:sz="8" w:space="0" w:color="auto"/>
              <w:right w:val="single" w:sz="8" w:space="0" w:color="auto"/>
            </w:tcBorders>
            <w:shd w:val="clear" w:color="auto" w:fill="auto"/>
            <w:noWrap/>
            <w:vAlign w:val="bottom"/>
            <w:hideMark/>
          </w:tcPr>
          <w:p w14:paraId="13D91EE9" w14:textId="73D7FF36" w:rsidR="00032331" w:rsidRPr="00143100" w:rsidRDefault="00D04302" w:rsidP="00CE6001">
            <w:pPr>
              <w:spacing w:after="0" w:line="240" w:lineRule="auto"/>
              <w:jc w:val="left"/>
              <w:rPr>
                <w:rFonts w:eastAsia="Times New Roman" w:cs="Times New Roman"/>
                <w:color w:val="000000"/>
                <w:szCs w:val="24"/>
                <w:lang w:eastAsia="de-CH"/>
              </w:rPr>
            </w:pPr>
            <w:proofErr w:type="spellStart"/>
            <w:r>
              <w:rPr>
                <w:b/>
                <w:color w:val="1A1718"/>
                <w:u w:val="single"/>
                <w:lang w:eastAsia="en-GB"/>
              </w:rPr>
              <w:lastRenderedPageBreak/>
              <w:t>e</w:t>
            </w:r>
            <w:r w:rsidR="00317E7A">
              <w:rPr>
                <w:b/>
                <w:color w:val="1A1718"/>
                <w:u w:val="single"/>
                <w:lang w:eastAsia="en-GB"/>
              </w:rPr>
              <w:t>Table</w:t>
            </w:r>
            <w:proofErr w:type="spellEnd"/>
            <w:r w:rsidR="00D43D6A">
              <w:rPr>
                <w:b/>
                <w:color w:val="1A1718"/>
                <w:u w:val="single"/>
                <w:lang w:eastAsia="en-GB"/>
              </w:rPr>
              <w:t xml:space="preserve"> </w:t>
            </w:r>
            <w:r w:rsidR="00241D39">
              <w:rPr>
                <w:b/>
                <w:color w:val="1A1718"/>
                <w:u w:val="single"/>
                <w:lang w:eastAsia="en-GB"/>
              </w:rPr>
              <w:t>3</w:t>
            </w:r>
            <w:r w:rsidR="00032331" w:rsidRPr="00630A82">
              <w:rPr>
                <w:b/>
                <w:color w:val="1A1718"/>
                <w:lang w:eastAsia="en-GB"/>
              </w:rPr>
              <w:t xml:space="preserve"> </w:t>
            </w:r>
            <w:r w:rsidR="00032331" w:rsidRPr="00630A82">
              <w:rPr>
                <w:color w:val="1A1718"/>
                <w:lang w:eastAsia="en-GB"/>
              </w:rPr>
              <w:t xml:space="preserve">Revascularisation </w:t>
            </w:r>
            <w:r w:rsidR="00032331" w:rsidRPr="00143100">
              <w:rPr>
                <w:color w:val="1A1718"/>
                <w:szCs w:val="24"/>
                <w:lang w:eastAsia="en-GB"/>
              </w:rPr>
              <w:t xml:space="preserve">procedures and resource use in the High-STEACS cohort. </w:t>
            </w:r>
            <w:r w:rsidR="00032331" w:rsidRPr="00143100">
              <w:rPr>
                <w:szCs w:val="24"/>
              </w:rPr>
              <w:t>Frequency of use and results from coronary angiography and revascularisation procedures shown as absolute numbers and (percentages) for unstable angina (UA), non-ST-segment elevation myocardial infarction (NSTEMI).and non-coronary chest pain (</w:t>
            </w:r>
            <w:proofErr w:type="spellStart"/>
            <w:r w:rsidR="00032331" w:rsidRPr="00143100">
              <w:rPr>
                <w:szCs w:val="24"/>
              </w:rPr>
              <w:t>NCoCP</w:t>
            </w:r>
            <w:proofErr w:type="spellEnd"/>
            <w:r w:rsidR="00032331" w:rsidRPr="00143100">
              <w:rPr>
                <w:szCs w:val="24"/>
              </w:rPr>
              <w:t>); PCI = percutaneous coronary intervention</w:t>
            </w:r>
            <w:r w:rsidR="00032331" w:rsidRPr="00143100">
              <w:rPr>
                <w:rFonts w:eastAsia="Times New Roman" w:cs="Times New Roman"/>
                <w:color w:val="000000"/>
                <w:szCs w:val="24"/>
                <w:lang w:eastAsia="de-CH"/>
              </w:rPr>
              <w:t> </w:t>
            </w:r>
          </w:p>
        </w:tc>
        <w:tc>
          <w:tcPr>
            <w:tcW w:w="2040" w:type="dxa"/>
            <w:tcBorders>
              <w:top w:val="nil"/>
              <w:left w:val="nil"/>
              <w:bottom w:val="single" w:sz="8" w:space="0" w:color="auto"/>
              <w:right w:val="nil"/>
            </w:tcBorders>
            <w:shd w:val="clear" w:color="auto" w:fill="auto"/>
            <w:vAlign w:val="center"/>
            <w:hideMark/>
          </w:tcPr>
          <w:p w14:paraId="0B83810E" w14:textId="77777777" w:rsidR="00032331" w:rsidRPr="00143100" w:rsidRDefault="00032331" w:rsidP="00D04302">
            <w:pPr>
              <w:spacing w:after="0" w:line="240" w:lineRule="auto"/>
              <w:jc w:val="center"/>
              <w:rPr>
                <w:rFonts w:eastAsia="Times New Roman" w:cs="Times New Roman"/>
                <w:b/>
                <w:bCs/>
                <w:color w:val="000000"/>
                <w:szCs w:val="24"/>
                <w:lang w:eastAsia="de-CH"/>
              </w:rPr>
            </w:pPr>
            <w:r w:rsidRPr="00143100">
              <w:rPr>
                <w:rFonts w:eastAsia="Times New Roman" w:cs="Times New Roman"/>
                <w:b/>
                <w:bCs/>
                <w:color w:val="000000"/>
                <w:szCs w:val="24"/>
                <w:lang w:eastAsia="de-CH"/>
              </w:rPr>
              <w:t>Unstable Angina</w:t>
            </w:r>
            <w:r w:rsidRPr="00143100">
              <w:rPr>
                <w:rFonts w:eastAsia="Times New Roman" w:cs="Times New Roman"/>
                <w:b/>
                <w:bCs/>
                <w:color w:val="000000"/>
                <w:szCs w:val="24"/>
                <w:lang w:eastAsia="de-CH"/>
              </w:rPr>
              <w:br/>
              <w:t>n = 137</w:t>
            </w:r>
          </w:p>
        </w:tc>
        <w:tc>
          <w:tcPr>
            <w:tcW w:w="2040" w:type="dxa"/>
            <w:tcBorders>
              <w:top w:val="nil"/>
              <w:left w:val="nil"/>
              <w:bottom w:val="single" w:sz="8" w:space="0" w:color="auto"/>
              <w:right w:val="nil"/>
            </w:tcBorders>
            <w:shd w:val="clear" w:color="auto" w:fill="auto"/>
            <w:vAlign w:val="center"/>
            <w:hideMark/>
          </w:tcPr>
          <w:p w14:paraId="4EFA9BBD" w14:textId="77777777" w:rsidR="00032331" w:rsidRPr="00143100" w:rsidRDefault="00032331" w:rsidP="00D04302">
            <w:pPr>
              <w:spacing w:after="0" w:line="240" w:lineRule="auto"/>
              <w:jc w:val="center"/>
              <w:rPr>
                <w:rFonts w:eastAsia="Times New Roman" w:cs="Times New Roman"/>
                <w:b/>
                <w:bCs/>
                <w:color w:val="000000"/>
                <w:szCs w:val="24"/>
                <w:lang w:eastAsia="de-CH"/>
              </w:rPr>
            </w:pPr>
            <w:r w:rsidRPr="00143100">
              <w:rPr>
                <w:rFonts w:eastAsia="Times New Roman" w:cs="Times New Roman"/>
                <w:b/>
                <w:bCs/>
                <w:color w:val="000000"/>
                <w:szCs w:val="24"/>
                <w:lang w:eastAsia="de-CH"/>
              </w:rPr>
              <w:t>NSTEMI</w:t>
            </w:r>
            <w:r w:rsidRPr="00143100">
              <w:rPr>
                <w:rFonts w:eastAsia="Times New Roman" w:cs="Times New Roman"/>
                <w:b/>
                <w:bCs/>
                <w:color w:val="000000"/>
                <w:szCs w:val="24"/>
                <w:lang w:eastAsia="de-CH"/>
              </w:rPr>
              <w:br/>
              <w:t>n = 651</w:t>
            </w:r>
          </w:p>
        </w:tc>
        <w:tc>
          <w:tcPr>
            <w:tcW w:w="1840" w:type="dxa"/>
            <w:tcBorders>
              <w:top w:val="nil"/>
              <w:left w:val="nil"/>
              <w:bottom w:val="single" w:sz="8" w:space="0" w:color="auto"/>
              <w:right w:val="dotted" w:sz="4" w:space="0" w:color="auto"/>
            </w:tcBorders>
            <w:shd w:val="clear" w:color="auto" w:fill="auto"/>
            <w:vAlign w:val="center"/>
            <w:hideMark/>
          </w:tcPr>
          <w:p w14:paraId="7F3572D7"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p-value</w:t>
            </w:r>
            <w:r w:rsidRPr="00143100">
              <w:rPr>
                <w:rFonts w:eastAsia="Times New Roman" w:cs="Times New Roman"/>
                <w:color w:val="000000"/>
                <w:szCs w:val="24"/>
                <w:lang w:eastAsia="de-CH"/>
              </w:rPr>
              <w:br/>
              <w:t>UA vs NSTEMI</w:t>
            </w:r>
          </w:p>
        </w:tc>
        <w:tc>
          <w:tcPr>
            <w:tcW w:w="1840" w:type="dxa"/>
            <w:tcBorders>
              <w:top w:val="nil"/>
              <w:left w:val="nil"/>
              <w:bottom w:val="single" w:sz="8" w:space="0" w:color="auto"/>
              <w:right w:val="nil"/>
            </w:tcBorders>
            <w:shd w:val="clear" w:color="auto" w:fill="auto"/>
            <w:vAlign w:val="center"/>
            <w:hideMark/>
          </w:tcPr>
          <w:p w14:paraId="4083AE26" w14:textId="77777777" w:rsidR="00032331" w:rsidRPr="00143100" w:rsidRDefault="00032331" w:rsidP="00D04302">
            <w:pPr>
              <w:spacing w:after="0" w:line="240" w:lineRule="auto"/>
              <w:jc w:val="center"/>
              <w:rPr>
                <w:rFonts w:eastAsia="Times New Roman" w:cs="Times New Roman"/>
                <w:b/>
                <w:bCs/>
                <w:color w:val="000000"/>
                <w:szCs w:val="24"/>
                <w:lang w:eastAsia="de-CH"/>
              </w:rPr>
            </w:pPr>
            <w:proofErr w:type="spellStart"/>
            <w:r w:rsidRPr="00143100">
              <w:rPr>
                <w:rFonts w:eastAsia="Times New Roman" w:cs="Times New Roman"/>
                <w:b/>
                <w:bCs/>
                <w:color w:val="000000"/>
                <w:szCs w:val="24"/>
                <w:lang w:eastAsia="de-CH"/>
              </w:rPr>
              <w:t>NCoCP</w:t>
            </w:r>
            <w:proofErr w:type="spellEnd"/>
            <w:r w:rsidRPr="00143100">
              <w:rPr>
                <w:rFonts w:eastAsia="Times New Roman" w:cs="Times New Roman"/>
                <w:b/>
                <w:bCs/>
                <w:color w:val="000000"/>
                <w:szCs w:val="24"/>
                <w:lang w:eastAsia="de-CH"/>
              </w:rPr>
              <w:br/>
              <w:t>n = 3951</w:t>
            </w:r>
          </w:p>
        </w:tc>
        <w:tc>
          <w:tcPr>
            <w:tcW w:w="1840" w:type="dxa"/>
            <w:tcBorders>
              <w:top w:val="nil"/>
              <w:left w:val="nil"/>
              <w:bottom w:val="single" w:sz="8" w:space="0" w:color="auto"/>
              <w:right w:val="nil"/>
            </w:tcBorders>
            <w:shd w:val="clear" w:color="auto" w:fill="auto"/>
            <w:vAlign w:val="center"/>
            <w:hideMark/>
          </w:tcPr>
          <w:p w14:paraId="16BCAE04" w14:textId="1351B733"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p-value</w:t>
            </w:r>
            <w:r w:rsidRPr="00143100">
              <w:rPr>
                <w:rFonts w:eastAsia="Times New Roman" w:cs="Times New Roman"/>
                <w:color w:val="000000"/>
                <w:szCs w:val="24"/>
                <w:lang w:eastAsia="de-CH"/>
              </w:rPr>
              <w:br/>
              <w:t xml:space="preserve">UA vs </w:t>
            </w:r>
            <w:proofErr w:type="spellStart"/>
            <w:r w:rsidRPr="00143100">
              <w:rPr>
                <w:rFonts w:eastAsia="Times New Roman" w:cs="Times New Roman"/>
                <w:color w:val="000000"/>
                <w:szCs w:val="24"/>
                <w:lang w:eastAsia="de-CH"/>
              </w:rPr>
              <w:t>NC</w:t>
            </w:r>
            <w:r w:rsidR="002A26F4">
              <w:rPr>
                <w:rFonts w:eastAsia="Times New Roman" w:cs="Times New Roman"/>
                <w:color w:val="000000"/>
                <w:szCs w:val="24"/>
                <w:lang w:eastAsia="de-CH"/>
              </w:rPr>
              <w:t>o</w:t>
            </w:r>
            <w:r w:rsidRPr="00143100">
              <w:rPr>
                <w:rFonts w:eastAsia="Times New Roman" w:cs="Times New Roman"/>
                <w:color w:val="000000"/>
                <w:szCs w:val="24"/>
                <w:lang w:eastAsia="de-CH"/>
              </w:rPr>
              <w:t>CP</w:t>
            </w:r>
            <w:proofErr w:type="spellEnd"/>
          </w:p>
        </w:tc>
      </w:tr>
      <w:tr w:rsidR="00032331" w:rsidRPr="00143100" w14:paraId="5C707608" w14:textId="77777777" w:rsidTr="00D04302">
        <w:trPr>
          <w:trHeight w:val="420"/>
        </w:trPr>
        <w:tc>
          <w:tcPr>
            <w:tcW w:w="4760" w:type="dxa"/>
            <w:tcBorders>
              <w:top w:val="single" w:sz="8" w:space="0" w:color="auto"/>
              <w:left w:val="nil"/>
              <w:bottom w:val="dotted" w:sz="4" w:space="0" w:color="auto"/>
              <w:right w:val="single" w:sz="8" w:space="0" w:color="auto"/>
            </w:tcBorders>
            <w:shd w:val="clear" w:color="auto" w:fill="auto"/>
            <w:noWrap/>
            <w:vAlign w:val="center"/>
            <w:hideMark/>
          </w:tcPr>
          <w:p w14:paraId="620A0912" w14:textId="77777777" w:rsidR="00032331" w:rsidRPr="00143100" w:rsidRDefault="00032331" w:rsidP="00CE6001">
            <w:pPr>
              <w:spacing w:after="0" w:line="240" w:lineRule="auto"/>
              <w:jc w:val="left"/>
              <w:rPr>
                <w:rFonts w:eastAsia="Times New Roman" w:cs="Times New Roman"/>
                <w:color w:val="000000"/>
                <w:szCs w:val="24"/>
                <w:lang w:eastAsia="de-CH"/>
              </w:rPr>
            </w:pPr>
            <w:r w:rsidRPr="00143100">
              <w:rPr>
                <w:rFonts w:eastAsia="Times New Roman" w:cs="Times New Roman"/>
                <w:color w:val="000000"/>
                <w:szCs w:val="24"/>
                <w:lang w:eastAsia="de-CH"/>
              </w:rPr>
              <w:t>Coronary angiography 30days, n (%)</w:t>
            </w:r>
          </w:p>
        </w:tc>
        <w:tc>
          <w:tcPr>
            <w:tcW w:w="2040" w:type="dxa"/>
            <w:tcBorders>
              <w:top w:val="single" w:sz="8" w:space="0" w:color="auto"/>
              <w:left w:val="nil"/>
              <w:bottom w:val="dotted" w:sz="4" w:space="0" w:color="auto"/>
              <w:right w:val="nil"/>
            </w:tcBorders>
            <w:shd w:val="clear" w:color="auto" w:fill="auto"/>
            <w:noWrap/>
            <w:vAlign w:val="center"/>
            <w:hideMark/>
          </w:tcPr>
          <w:p w14:paraId="360AD6B3" w14:textId="1C847036"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29 (21.2)</w:t>
            </w:r>
          </w:p>
        </w:tc>
        <w:tc>
          <w:tcPr>
            <w:tcW w:w="2040" w:type="dxa"/>
            <w:tcBorders>
              <w:top w:val="single" w:sz="8" w:space="0" w:color="auto"/>
              <w:left w:val="nil"/>
              <w:bottom w:val="dotted" w:sz="4" w:space="0" w:color="auto"/>
              <w:right w:val="nil"/>
            </w:tcBorders>
            <w:shd w:val="clear" w:color="auto" w:fill="auto"/>
            <w:noWrap/>
            <w:vAlign w:val="center"/>
            <w:hideMark/>
          </w:tcPr>
          <w:p w14:paraId="58DB5EBA" w14:textId="1FD1825D"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359 (55.1)</w:t>
            </w:r>
          </w:p>
        </w:tc>
        <w:tc>
          <w:tcPr>
            <w:tcW w:w="1840" w:type="dxa"/>
            <w:tcBorders>
              <w:top w:val="single" w:sz="8" w:space="0" w:color="auto"/>
              <w:left w:val="nil"/>
              <w:bottom w:val="dotted" w:sz="4" w:space="0" w:color="auto"/>
              <w:right w:val="dotted" w:sz="4" w:space="0" w:color="auto"/>
            </w:tcBorders>
            <w:shd w:val="clear" w:color="auto" w:fill="auto"/>
            <w:noWrap/>
            <w:vAlign w:val="center"/>
            <w:hideMark/>
          </w:tcPr>
          <w:p w14:paraId="72CDED45"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&lt;0.001</w:t>
            </w:r>
          </w:p>
        </w:tc>
        <w:tc>
          <w:tcPr>
            <w:tcW w:w="1840" w:type="dxa"/>
            <w:tcBorders>
              <w:top w:val="single" w:sz="8" w:space="0" w:color="auto"/>
              <w:left w:val="nil"/>
              <w:bottom w:val="dotted" w:sz="4" w:space="0" w:color="auto"/>
              <w:right w:val="nil"/>
            </w:tcBorders>
            <w:shd w:val="clear" w:color="auto" w:fill="auto"/>
            <w:noWrap/>
            <w:vAlign w:val="center"/>
            <w:hideMark/>
          </w:tcPr>
          <w:p w14:paraId="611458E4" w14:textId="10C50A1D"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 xml:space="preserve">65 </w:t>
            </w:r>
            <w:proofErr w:type="gramStart"/>
            <w:r w:rsidRPr="00143100">
              <w:rPr>
                <w:rFonts w:eastAsia="Times New Roman" w:cs="Times New Roman"/>
                <w:color w:val="000000"/>
                <w:szCs w:val="24"/>
                <w:lang w:eastAsia="de-CH"/>
              </w:rPr>
              <w:t>( 1.6</w:t>
            </w:r>
            <w:proofErr w:type="gramEnd"/>
            <w:r w:rsidRPr="00143100">
              <w:rPr>
                <w:rFonts w:eastAsia="Times New Roman" w:cs="Times New Roman"/>
                <w:color w:val="000000"/>
                <w:szCs w:val="24"/>
                <w:lang w:eastAsia="de-CH"/>
              </w:rPr>
              <w:t>)</w:t>
            </w:r>
          </w:p>
        </w:tc>
        <w:tc>
          <w:tcPr>
            <w:tcW w:w="1840" w:type="dxa"/>
            <w:tcBorders>
              <w:top w:val="single" w:sz="8" w:space="0" w:color="auto"/>
              <w:left w:val="nil"/>
              <w:bottom w:val="dotted" w:sz="4" w:space="0" w:color="auto"/>
              <w:right w:val="nil"/>
            </w:tcBorders>
            <w:shd w:val="clear" w:color="auto" w:fill="auto"/>
            <w:noWrap/>
            <w:vAlign w:val="center"/>
            <w:hideMark/>
          </w:tcPr>
          <w:p w14:paraId="64A30129"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&lt;0.001</w:t>
            </w:r>
          </w:p>
        </w:tc>
      </w:tr>
      <w:tr w:rsidR="00032331" w:rsidRPr="00143100" w14:paraId="7FF4CFD5" w14:textId="77777777" w:rsidTr="00D04302">
        <w:trPr>
          <w:trHeight w:val="420"/>
        </w:trPr>
        <w:tc>
          <w:tcPr>
            <w:tcW w:w="4760" w:type="dxa"/>
            <w:tcBorders>
              <w:top w:val="dotted" w:sz="4" w:space="0" w:color="auto"/>
              <w:left w:val="nil"/>
              <w:bottom w:val="dotted" w:sz="4" w:space="0" w:color="auto"/>
              <w:right w:val="single" w:sz="8" w:space="0" w:color="auto"/>
            </w:tcBorders>
            <w:shd w:val="clear" w:color="auto" w:fill="auto"/>
            <w:noWrap/>
            <w:vAlign w:val="center"/>
            <w:hideMark/>
          </w:tcPr>
          <w:p w14:paraId="616CFF93" w14:textId="77777777" w:rsidR="00032331" w:rsidRPr="00143100" w:rsidRDefault="00032331" w:rsidP="00CE6001">
            <w:pPr>
              <w:spacing w:after="0" w:line="240" w:lineRule="auto"/>
              <w:jc w:val="left"/>
              <w:rPr>
                <w:rFonts w:eastAsia="Times New Roman" w:cs="Times New Roman"/>
                <w:color w:val="000000"/>
                <w:szCs w:val="24"/>
                <w:lang w:eastAsia="de-CH"/>
              </w:rPr>
            </w:pPr>
            <w:r w:rsidRPr="00143100">
              <w:rPr>
                <w:rFonts w:eastAsia="Times New Roman" w:cs="Times New Roman"/>
                <w:color w:val="000000"/>
                <w:szCs w:val="24"/>
                <w:lang w:eastAsia="de-CH"/>
              </w:rPr>
              <w:t xml:space="preserve">   no significant CAD</w:t>
            </w:r>
          </w:p>
        </w:tc>
        <w:tc>
          <w:tcPr>
            <w:tcW w:w="2040" w:type="dxa"/>
            <w:tcBorders>
              <w:top w:val="dotted" w:sz="4" w:space="0" w:color="auto"/>
              <w:left w:val="nil"/>
              <w:bottom w:val="dotted" w:sz="4" w:space="0" w:color="auto"/>
              <w:right w:val="nil"/>
            </w:tcBorders>
            <w:shd w:val="clear" w:color="auto" w:fill="auto"/>
            <w:noWrap/>
            <w:vAlign w:val="center"/>
            <w:hideMark/>
          </w:tcPr>
          <w:p w14:paraId="2D958F1B" w14:textId="14D21016"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 xml:space="preserve">2 </w:t>
            </w:r>
            <w:proofErr w:type="gramStart"/>
            <w:r w:rsidRPr="00143100">
              <w:rPr>
                <w:rFonts w:eastAsia="Times New Roman" w:cs="Times New Roman"/>
                <w:color w:val="000000"/>
                <w:szCs w:val="24"/>
                <w:lang w:eastAsia="de-CH"/>
              </w:rPr>
              <w:t>( 6.9</w:t>
            </w:r>
            <w:proofErr w:type="gramEnd"/>
            <w:r w:rsidRPr="00143100">
              <w:rPr>
                <w:rFonts w:eastAsia="Times New Roman" w:cs="Times New Roman"/>
                <w:color w:val="000000"/>
                <w:szCs w:val="24"/>
                <w:lang w:eastAsia="de-CH"/>
              </w:rPr>
              <w:t>)</w:t>
            </w:r>
          </w:p>
        </w:tc>
        <w:tc>
          <w:tcPr>
            <w:tcW w:w="2040" w:type="dxa"/>
            <w:tcBorders>
              <w:top w:val="dotted" w:sz="4" w:space="0" w:color="auto"/>
              <w:left w:val="nil"/>
              <w:bottom w:val="dotted" w:sz="4" w:space="0" w:color="auto"/>
              <w:right w:val="nil"/>
            </w:tcBorders>
            <w:shd w:val="clear" w:color="auto" w:fill="auto"/>
            <w:noWrap/>
            <w:vAlign w:val="center"/>
            <w:hideMark/>
          </w:tcPr>
          <w:p w14:paraId="5D9FDD71" w14:textId="31A05C93"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39 (10.9)</w:t>
            </w:r>
          </w:p>
        </w:tc>
        <w:tc>
          <w:tcPr>
            <w:tcW w:w="1840" w:type="dxa"/>
            <w:vMerge w:val="restart"/>
            <w:tcBorders>
              <w:top w:val="dotted" w:sz="4" w:space="0" w:color="auto"/>
              <w:left w:val="nil"/>
              <w:bottom w:val="dotted" w:sz="4" w:space="0" w:color="auto"/>
              <w:right w:val="dotted" w:sz="4" w:space="0" w:color="auto"/>
            </w:tcBorders>
            <w:shd w:val="clear" w:color="auto" w:fill="auto"/>
            <w:noWrap/>
            <w:vAlign w:val="center"/>
            <w:hideMark/>
          </w:tcPr>
          <w:p w14:paraId="58FF21B3"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0.343</w:t>
            </w:r>
          </w:p>
        </w:tc>
        <w:tc>
          <w:tcPr>
            <w:tcW w:w="1840" w:type="dxa"/>
            <w:tcBorders>
              <w:top w:val="dotted" w:sz="4" w:space="0" w:color="auto"/>
              <w:left w:val="nil"/>
              <w:bottom w:val="dotted" w:sz="4" w:space="0" w:color="auto"/>
              <w:right w:val="nil"/>
            </w:tcBorders>
            <w:shd w:val="clear" w:color="auto" w:fill="auto"/>
            <w:noWrap/>
            <w:vAlign w:val="center"/>
            <w:hideMark/>
          </w:tcPr>
          <w:p w14:paraId="4EBCAE36" w14:textId="1F3080E9"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39 (60.0)</w:t>
            </w:r>
          </w:p>
        </w:tc>
        <w:tc>
          <w:tcPr>
            <w:tcW w:w="1840" w:type="dxa"/>
            <w:vMerge w:val="restart"/>
            <w:tcBorders>
              <w:top w:val="dotted" w:sz="4" w:space="0" w:color="auto"/>
              <w:left w:val="nil"/>
              <w:bottom w:val="dotted" w:sz="4" w:space="0" w:color="auto"/>
              <w:right w:val="nil"/>
            </w:tcBorders>
            <w:shd w:val="clear" w:color="auto" w:fill="auto"/>
            <w:noWrap/>
            <w:vAlign w:val="center"/>
            <w:hideMark/>
          </w:tcPr>
          <w:p w14:paraId="377433D2"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&lt;0.001</w:t>
            </w:r>
          </w:p>
        </w:tc>
      </w:tr>
      <w:tr w:rsidR="00032331" w:rsidRPr="00143100" w14:paraId="6C904104" w14:textId="77777777" w:rsidTr="00D04302">
        <w:trPr>
          <w:trHeight w:val="420"/>
        </w:trPr>
        <w:tc>
          <w:tcPr>
            <w:tcW w:w="4760" w:type="dxa"/>
            <w:tcBorders>
              <w:top w:val="dotted" w:sz="4" w:space="0" w:color="auto"/>
              <w:left w:val="nil"/>
              <w:bottom w:val="dotted" w:sz="4" w:space="0" w:color="auto"/>
              <w:right w:val="single" w:sz="8" w:space="0" w:color="auto"/>
            </w:tcBorders>
            <w:shd w:val="clear" w:color="auto" w:fill="auto"/>
            <w:noWrap/>
            <w:vAlign w:val="center"/>
            <w:hideMark/>
          </w:tcPr>
          <w:p w14:paraId="6DD628B2" w14:textId="77777777" w:rsidR="00032331" w:rsidRPr="00143100" w:rsidRDefault="00032331" w:rsidP="00CE6001">
            <w:pPr>
              <w:spacing w:after="0" w:line="240" w:lineRule="auto"/>
              <w:jc w:val="left"/>
              <w:rPr>
                <w:rFonts w:eastAsia="Times New Roman" w:cs="Times New Roman"/>
                <w:color w:val="000000"/>
                <w:szCs w:val="24"/>
                <w:lang w:eastAsia="de-CH"/>
              </w:rPr>
            </w:pPr>
            <w:r w:rsidRPr="00143100">
              <w:rPr>
                <w:rFonts w:eastAsia="Times New Roman" w:cs="Times New Roman"/>
                <w:color w:val="000000"/>
                <w:szCs w:val="24"/>
                <w:lang w:eastAsia="de-CH"/>
              </w:rPr>
              <w:t xml:space="preserve">   1-vessel CAD, n (%)</w:t>
            </w:r>
          </w:p>
        </w:tc>
        <w:tc>
          <w:tcPr>
            <w:tcW w:w="2040" w:type="dxa"/>
            <w:tcBorders>
              <w:top w:val="dotted" w:sz="4" w:space="0" w:color="auto"/>
              <w:left w:val="nil"/>
              <w:bottom w:val="dotted" w:sz="4" w:space="0" w:color="auto"/>
              <w:right w:val="nil"/>
            </w:tcBorders>
            <w:shd w:val="clear" w:color="auto" w:fill="auto"/>
            <w:noWrap/>
            <w:vAlign w:val="center"/>
            <w:hideMark/>
          </w:tcPr>
          <w:p w14:paraId="4BE41A57" w14:textId="5A1B4946"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9 (31.0)</w:t>
            </w:r>
          </w:p>
        </w:tc>
        <w:tc>
          <w:tcPr>
            <w:tcW w:w="2040" w:type="dxa"/>
            <w:tcBorders>
              <w:top w:val="dotted" w:sz="4" w:space="0" w:color="auto"/>
              <w:left w:val="nil"/>
              <w:bottom w:val="dotted" w:sz="4" w:space="0" w:color="auto"/>
              <w:right w:val="nil"/>
            </w:tcBorders>
            <w:shd w:val="clear" w:color="auto" w:fill="auto"/>
            <w:noWrap/>
            <w:vAlign w:val="center"/>
            <w:hideMark/>
          </w:tcPr>
          <w:p w14:paraId="08D3682E" w14:textId="63D6F598"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138 (38.4)</w:t>
            </w:r>
          </w:p>
        </w:tc>
        <w:tc>
          <w:tcPr>
            <w:tcW w:w="1840" w:type="dxa"/>
            <w:vMerge/>
            <w:tcBorders>
              <w:top w:val="dotted" w:sz="4" w:space="0" w:color="auto"/>
              <w:left w:val="nil"/>
              <w:bottom w:val="dotted" w:sz="4" w:space="0" w:color="auto"/>
              <w:right w:val="dotted" w:sz="4" w:space="0" w:color="auto"/>
            </w:tcBorders>
            <w:vAlign w:val="center"/>
            <w:hideMark/>
          </w:tcPr>
          <w:p w14:paraId="315067C1" w14:textId="77777777" w:rsidR="00032331" w:rsidRPr="00143100" w:rsidRDefault="00032331" w:rsidP="00D04302">
            <w:pPr>
              <w:spacing w:after="0" w:line="240" w:lineRule="auto"/>
              <w:jc w:val="center"/>
              <w:rPr>
                <w:rFonts w:eastAsia="Times New Roman" w:cs="Times New Roman"/>
                <w:color w:val="000000"/>
                <w:szCs w:val="24"/>
                <w:lang w:eastAsia="de-CH"/>
              </w:rPr>
            </w:pPr>
          </w:p>
        </w:tc>
        <w:tc>
          <w:tcPr>
            <w:tcW w:w="1840" w:type="dxa"/>
            <w:tcBorders>
              <w:top w:val="dotted" w:sz="4" w:space="0" w:color="auto"/>
              <w:left w:val="nil"/>
              <w:bottom w:val="dotted" w:sz="4" w:space="0" w:color="auto"/>
              <w:right w:val="nil"/>
            </w:tcBorders>
            <w:shd w:val="clear" w:color="auto" w:fill="auto"/>
            <w:noWrap/>
            <w:vAlign w:val="center"/>
            <w:hideMark/>
          </w:tcPr>
          <w:p w14:paraId="74A9360B" w14:textId="23993F19"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7 (10.8)</w:t>
            </w:r>
          </w:p>
        </w:tc>
        <w:tc>
          <w:tcPr>
            <w:tcW w:w="1840" w:type="dxa"/>
            <w:vMerge/>
            <w:tcBorders>
              <w:top w:val="dotted" w:sz="4" w:space="0" w:color="auto"/>
              <w:left w:val="nil"/>
              <w:bottom w:val="dotted" w:sz="4" w:space="0" w:color="auto"/>
              <w:right w:val="nil"/>
            </w:tcBorders>
            <w:vAlign w:val="center"/>
            <w:hideMark/>
          </w:tcPr>
          <w:p w14:paraId="1A8B4985" w14:textId="77777777" w:rsidR="00032331" w:rsidRPr="00143100" w:rsidRDefault="00032331" w:rsidP="00D04302">
            <w:pPr>
              <w:spacing w:after="0" w:line="240" w:lineRule="auto"/>
              <w:jc w:val="center"/>
              <w:rPr>
                <w:rFonts w:eastAsia="Times New Roman" w:cs="Times New Roman"/>
                <w:color w:val="000000"/>
                <w:szCs w:val="24"/>
                <w:lang w:eastAsia="de-CH"/>
              </w:rPr>
            </w:pPr>
          </w:p>
        </w:tc>
      </w:tr>
      <w:tr w:rsidR="00032331" w:rsidRPr="00143100" w14:paraId="4C4B4383" w14:textId="77777777" w:rsidTr="00D04302">
        <w:trPr>
          <w:trHeight w:val="420"/>
        </w:trPr>
        <w:tc>
          <w:tcPr>
            <w:tcW w:w="4760" w:type="dxa"/>
            <w:tcBorders>
              <w:top w:val="dotted" w:sz="4" w:space="0" w:color="auto"/>
              <w:left w:val="nil"/>
              <w:bottom w:val="dotted" w:sz="4" w:space="0" w:color="auto"/>
              <w:right w:val="single" w:sz="8" w:space="0" w:color="auto"/>
            </w:tcBorders>
            <w:shd w:val="clear" w:color="auto" w:fill="auto"/>
            <w:noWrap/>
            <w:vAlign w:val="center"/>
            <w:hideMark/>
          </w:tcPr>
          <w:p w14:paraId="751B1E27" w14:textId="77777777" w:rsidR="00032331" w:rsidRPr="00143100" w:rsidRDefault="00032331" w:rsidP="00CE6001">
            <w:pPr>
              <w:spacing w:after="0" w:line="240" w:lineRule="auto"/>
              <w:jc w:val="left"/>
              <w:rPr>
                <w:rFonts w:eastAsia="Times New Roman" w:cs="Times New Roman"/>
                <w:color w:val="000000"/>
                <w:szCs w:val="24"/>
                <w:lang w:eastAsia="de-CH"/>
              </w:rPr>
            </w:pPr>
            <w:r w:rsidRPr="00143100">
              <w:rPr>
                <w:rFonts w:eastAsia="Times New Roman" w:cs="Times New Roman"/>
                <w:color w:val="000000"/>
                <w:szCs w:val="24"/>
                <w:lang w:eastAsia="de-CH"/>
              </w:rPr>
              <w:t xml:space="preserve">   2-vessel CAD, n (%)</w:t>
            </w:r>
          </w:p>
        </w:tc>
        <w:tc>
          <w:tcPr>
            <w:tcW w:w="2040" w:type="dxa"/>
            <w:tcBorders>
              <w:top w:val="dotted" w:sz="4" w:space="0" w:color="auto"/>
              <w:left w:val="nil"/>
              <w:bottom w:val="dotted" w:sz="4" w:space="0" w:color="auto"/>
              <w:right w:val="nil"/>
            </w:tcBorders>
            <w:shd w:val="clear" w:color="auto" w:fill="auto"/>
            <w:noWrap/>
            <w:vAlign w:val="center"/>
            <w:hideMark/>
          </w:tcPr>
          <w:p w14:paraId="2C60A6FF" w14:textId="78DA40BF"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7 (24.1)</w:t>
            </w:r>
          </w:p>
        </w:tc>
        <w:tc>
          <w:tcPr>
            <w:tcW w:w="2040" w:type="dxa"/>
            <w:tcBorders>
              <w:top w:val="dotted" w:sz="4" w:space="0" w:color="auto"/>
              <w:left w:val="nil"/>
              <w:bottom w:val="dotted" w:sz="4" w:space="0" w:color="auto"/>
              <w:right w:val="nil"/>
            </w:tcBorders>
            <w:shd w:val="clear" w:color="auto" w:fill="auto"/>
            <w:noWrap/>
            <w:vAlign w:val="center"/>
            <w:hideMark/>
          </w:tcPr>
          <w:p w14:paraId="12F33C9C" w14:textId="6C054F30"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99 (27.6)</w:t>
            </w:r>
          </w:p>
        </w:tc>
        <w:tc>
          <w:tcPr>
            <w:tcW w:w="1840" w:type="dxa"/>
            <w:vMerge/>
            <w:tcBorders>
              <w:top w:val="dotted" w:sz="4" w:space="0" w:color="auto"/>
              <w:left w:val="nil"/>
              <w:bottom w:val="dotted" w:sz="4" w:space="0" w:color="auto"/>
              <w:right w:val="dotted" w:sz="4" w:space="0" w:color="auto"/>
            </w:tcBorders>
            <w:vAlign w:val="center"/>
            <w:hideMark/>
          </w:tcPr>
          <w:p w14:paraId="1868FA73" w14:textId="77777777" w:rsidR="00032331" w:rsidRPr="00143100" w:rsidRDefault="00032331" w:rsidP="00D04302">
            <w:pPr>
              <w:spacing w:after="0" w:line="240" w:lineRule="auto"/>
              <w:jc w:val="center"/>
              <w:rPr>
                <w:rFonts w:eastAsia="Times New Roman" w:cs="Times New Roman"/>
                <w:color w:val="000000"/>
                <w:szCs w:val="24"/>
                <w:lang w:eastAsia="de-CH"/>
              </w:rPr>
            </w:pPr>
          </w:p>
        </w:tc>
        <w:tc>
          <w:tcPr>
            <w:tcW w:w="1840" w:type="dxa"/>
            <w:tcBorders>
              <w:top w:val="dotted" w:sz="4" w:space="0" w:color="auto"/>
              <w:left w:val="nil"/>
              <w:bottom w:val="dotted" w:sz="4" w:space="0" w:color="auto"/>
              <w:right w:val="nil"/>
            </w:tcBorders>
            <w:shd w:val="clear" w:color="auto" w:fill="auto"/>
            <w:noWrap/>
            <w:vAlign w:val="center"/>
            <w:hideMark/>
          </w:tcPr>
          <w:p w14:paraId="0E5CD616" w14:textId="1BA9EBA3"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11 (16.9)</w:t>
            </w:r>
          </w:p>
        </w:tc>
        <w:tc>
          <w:tcPr>
            <w:tcW w:w="1840" w:type="dxa"/>
            <w:vMerge/>
            <w:tcBorders>
              <w:top w:val="dotted" w:sz="4" w:space="0" w:color="auto"/>
              <w:left w:val="nil"/>
              <w:bottom w:val="dotted" w:sz="4" w:space="0" w:color="auto"/>
              <w:right w:val="nil"/>
            </w:tcBorders>
            <w:vAlign w:val="center"/>
            <w:hideMark/>
          </w:tcPr>
          <w:p w14:paraId="1A8DC856" w14:textId="77777777" w:rsidR="00032331" w:rsidRPr="00143100" w:rsidRDefault="00032331" w:rsidP="00D04302">
            <w:pPr>
              <w:spacing w:after="0" w:line="240" w:lineRule="auto"/>
              <w:jc w:val="center"/>
              <w:rPr>
                <w:rFonts w:eastAsia="Times New Roman" w:cs="Times New Roman"/>
                <w:color w:val="000000"/>
                <w:szCs w:val="24"/>
                <w:lang w:eastAsia="de-CH"/>
              </w:rPr>
            </w:pPr>
          </w:p>
        </w:tc>
      </w:tr>
      <w:tr w:rsidR="00032331" w:rsidRPr="00143100" w14:paraId="73032CF2" w14:textId="77777777" w:rsidTr="00D04302">
        <w:trPr>
          <w:trHeight w:val="420"/>
        </w:trPr>
        <w:tc>
          <w:tcPr>
            <w:tcW w:w="4760" w:type="dxa"/>
            <w:tcBorders>
              <w:top w:val="dotted" w:sz="4" w:space="0" w:color="auto"/>
              <w:left w:val="nil"/>
              <w:bottom w:val="dotted" w:sz="4" w:space="0" w:color="auto"/>
              <w:right w:val="single" w:sz="8" w:space="0" w:color="auto"/>
            </w:tcBorders>
            <w:shd w:val="clear" w:color="auto" w:fill="auto"/>
            <w:noWrap/>
            <w:vAlign w:val="center"/>
            <w:hideMark/>
          </w:tcPr>
          <w:p w14:paraId="7E69E23C" w14:textId="77777777" w:rsidR="00032331" w:rsidRPr="00143100" w:rsidRDefault="00032331" w:rsidP="00CE6001">
            <w:pPr>
              <w:spacing w:after="0" w:line="240" w:lineRule="auto"/>
              <w:jc w:val="left"/>
              <w:rPr>
                <w:rFonts w:eastAsia="Times New Roman" w:cs="Times New Roman"/>
                <w:color w:val="000000"/>
                <w:szCs w:val="24"/>
                <w:lang w:eastAsia="de-CH"/>
              </w:rPr>
            </w:pPr>
            <w:r w:rsidRPr="00143100">
              <w:rPr>
                <w:rFonts w:eastAsia="Times New Roman" w:cs="Times New Roman"/>
                <w:color w:val="000000"/>
                <w:szCs w:val="24"/>
                <w:lang w:eastAsia="de-CH"/>
              </w:rPr>
              <w:t xml:space="preserve">   3-vessel CAD, n (%)</w:t>
            </w:r>
          </w:p>
        </w:tc>
        <w:tc>
          <w:tcPr>
            <w:tcW w:w="2040" w:type="dxa"/>
            <w:tcBorders>
              <w:top w:val="dotted" w:sz="4" w:space="0" w:color="auto"/>
              <w:left w:val="nil"/>
              <w:bottom w:val="dotted" w:sz="4" w:space="0" w:color="auto"/>
              <w:right w:val="nil"/>
            </w:tcBorders>
            <w:shd w:val="clear" w:color="auto" w:fill="auto"/>
            <w:noWrap/>
            <w:vAlign w:val="center"/>
            <w:hideMark/>
          </w:tcPr>
          <w:p w14:paraId="3F191C58" w14:textId="7D2979FE"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11 (37.9)</w:t>
            </w:r>
          </w:p>
        </w:tc>
        <w:tc>
          <w:tcPr>
            <w:tcW w:w="2040" w:type="dxa"/>
            <w:tcBorders>
              <w:top w:val="dotted" w:sz="4" w:space="0" w:color="auto"/>
              <w:left w:val="nil"/>
              <w:bottom w:val="dotted" w:sz="4" w:space="0" w:color="auto"/>
              <w:right w:val="nil"/>
            </w:tcBorders>
            <w:shd w:val="clear" w:color="auto" w:fill="auto"/>
            <w:noWrap/>
            <w:vAlign w:val="center"/>
            <w:hideMark/>
          </w:tcPr>
          <w:p w14:paraId="4161423F" w14:textId="399DE5C3"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83 (23.1)</w:t>
            </w:r>
          </w:p>
        </w:tc>
        <w:tc>
          <w:tcPr>
            <w:tcW w:w="1840" w:type="dxa"/>
            <w:vMerge/>
            <w:tcBorders>
              <w:top w:val="dotted" w:sz="4" w:space="0" w:color="auto"/>
              <w:left w:val="nil"/>
              <w:bottom w:val="dotted" w:sz="4" w:space="0" w:color="auto"/>
              <w:right w:val="dotted" w:sz="4" w:space="0" w:color="auto"/>
            </w:tcBorders>
            <w:vAlign w:val="center"/>
            <w:hideMark/>
          </w:tcPr>
          <w:p w14:paraId="4B374267" w14:textId="77777777" w:rsidR="00032331" w:rsidRPr="00143100" w:rsidRDefault="00032331" w:rsidP="00D04302">
            <w:pPr>
              <w:spacing w:after="0" w:line="240" w:lineRule="auto"/>
              <w:jc w:val="center"/>
              <w:rPr>
                <w:rFonts w:eastAsia="Times New Roman" w:cs="Times New Roman"/>
                <w:color w:val="000000"/>
                <w:szCs w:val="24"/>
                <w:lang w:eastAsia="de-CH"/>
              </w:rPr>
            </w:pPr>
          </w:p>
        </w:tc>
        <w:tc>
          <w:tcPr>
            <w:tcW w:w="1840" w:type="dxa"/>
            <w:tcBorders>
              <w:top w:val="dotted" w:sz="4" w:space="0" w:color="auto"/>
              <w:left w:val="nil"/>
              <w:bottom w:val="dotted" w:sz="4" w:space="0" w:color="auto"/>
              <w:right w:val="nil"/>
            </w:tcBorders>
            <w:shd w:val="clear" w:color="auto" w:fill="auto"/>
            <w:noWrap/>
            <w:vAlign w:val="center"/>
            <w:hideMark/>
          </w:tcPr>
          <w:p w14:paraId="21FB4941" w14:textId="636FCD02"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8 (12.3)</w:t>
            </w:r>
          </w:p>
        </w:tc>
        <w:tc>
          <w:tcPr>
            <w:tcW w:w="1840" w:type="dxa"/>
            <w:vMerge/>
            <w:tcBorders>
              <w:top w:val="dotted" w:sz="4" w:space="0" w:color="auto"/>
              <w:left w:val="nil"/>
              <w:bottom w:val="dotted" w:sz="4" w:space="0" w:color="auto"/>
              <w:right w:val="nil"/>
            </w:tcBorders>
            <w:vAlign w:val="center"/>
            <w:hideMark/>
          </w:tcPr>
          <w:p w14:paraId="4036024D" w14:textId="77777777" w:rsidR="00032331" w:rsidRPr="00143100" w:rsidRDefault="00032331" w:rsidP="00D04302">
            <w:pPr>
              <w:spacing w:after="0" w:line="240" w:lineRule="auto"/>
              <w:jc w:val="center"/>
              <w:rPr>
                <w:rFonts w:eastAsia="Times New Roman" w:cs="Times New Roman"/>
                <w:color w:val="000000"/>
                <w:szCs w:val="24"/>
                <w:lang w:eastAsia="de-CH"/>
              </w:rPr>
            </w:pPr>
          </w:p>
        </w:tc>
      </w:tr>
      <w:tr w:rsidR="00032331" w:rsidRPr="00143100" w14:paraId="2009ABD4" w14:textId="77777777" w:rsidTr="00D04302">
        <w:trPr>
          <w:trHeight w:val="420"/>
        </w:trPr>
        <w:tc>
          <w:tcPr>
            <w:tcW w:w="4760" w:type="dxa"/>
            <w:tcBorders>
              <w:top w:val="dotted" w:sz="4" w:space="0" w:color="auto"/>
              <w:left w:val="nil"/>
              <w:bottom w:val="dotted" w:sz="4" w:space="0" w:color="auto"/>
              <w:right w:val="single" w:sz="8" w:space="0" w:color="auto"/>
            </w:tcBorders>
            <w:shd w:val="clear" w:color="auto" w:fill="auto"/>
            <w:noWrap/>
            <w:vAlign w:val="center"/>
            <w:hideMark/>
          </w:tcPr>
          <w:p w14:paraId="5BE02C1C" w14:textId="77777777" w:rsidR="00032331" w:rsidRPr="00143100" w:rsidRDefault="00032331" w:rsidP="00CE6001">
            <w:pPr>
              <w:spacing w:after="0" w:line="240" w:lineRule="auto"/>
              <w:jc w:val="left"/>
              <w:rPr>
                <w:rFonts w:eastAsia="Times New Roman" w:cs="Times New Roman"/>
                <w:color w:val="000000"/>
                <w:szCs w:val="24"/>
                <w:lang w:eastAsia="de-CH"/>
              </w:rPr>
            </w:pPr>
            <w:r w:rsidRPr="00143100">
              <w:rPr>
                <w:rFonts w:eastAsia="Times New Roman" w:cs="Times New Roman"/>
                <w:color w:val="000000"/>
                <w:szCs w:val="24"/>
                <w:lang w:eastAsia="de-CH"/>
              </w:rPr>
              <w:t>Coronary revascularisation in 30days, n (%)</w:t>
            </w:r>
          </w:p>
        </w:tc>
        <w:tc>
          <w:tcPr>
            <w:tcW w:w="2040" w:type="dxa"/>
            <w:tcBorders>
              <w:top w:val="dotted" w:sz="4" w:space="0" w:color="auto"/>
              <w:left w:val="nil"/>
              <w:bottom w:val="dotted" w:sz="4" w:space="0" w:color="auto"/>
              <w:right w:val="nil"/>
            </w:tcBorders>
            <w:shd w:val="clear" w:color="auto" w:fill="auto"/>
            <w:noWrap/>
            <w:vAlign w:val="center"/>
            <w:hideMark/>
          </w:tcPr>
          <w:p w14:paraId="4209131A" w14:textId="7657652F"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24 (17.5)</w:t>
            </w:r>
          </w:p>
        </w:tc>
        <w:tc>
          <w:tcPr>
            <w:tcW w:w="2040" w:type="dxa"/>
            <w:tcBorders>
              <w:top w:val="dotted" w:sz="4" w:space="0" w:color="auto"/>
              <w:left w:val="nil"/>
              <w:bottom w:val="dotted" w:sz="4" w:space="0" w:color="auto"/>
              <w:right w:val="nil"/>
            </w:tcBorders>
            <w:shd w:val="clear" w:color="auto" w:fill="auto"/>
            <w:noWrap/>
            <w:vAlign w:val="center"/>
            <w:hideMark/>
          </w:tcPr>
          <w:p w14:paraId="712E999E" w14:textId="11D1BB15"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277 (42.5)</w:t>
            </w:r>
          </w:p>
        </w:tc>
        <w:tc>
          <w:tcPr>
            <w:tcW w:w="1840" w:type="dxa"/>
            <w:tcBorders>
              <w:top w:val="dotted" w:sz="4" w:space="0" w:color="auto"/>
              <w:left w:val="nil"/>
              <w:bottom w:val="dotted" w:sz="4" w:space="0" w:color="auto"/>
              <w:right w:val="dotted" w:sz="4" w:space="0" w:color="auto"/>
            </w:tcBorders>
            <w:shd w:val="clear" w:color="auto" w:fill="auto"/>
            <w:noWrap/>
            <w:vAlign w:val="center"/>
            <w:hideMark/>
          </w:tcPr>
          <w:p w14:paraId="23C8460D"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&lt;0.001</w:t>
            </w:r>
          </w:p>
        </w:tc>
        <w:tc>
          <w:tcPr>
            <w:tcW w:w="1840" w:type="dxa"/>
            <w:tcBorders>
              <w:top w:val="dotted" w:sz="4" w:space="0" w:color="auto"/>
              <w:left w:val="nil"/>
              <w:bottom w:val="dotted" w:sz="4" w:space="0" w:color="auto"/>
              <w:right w:val="nil"/>
            </w:tcBorders>
            <w:shd w:val="clear" w:color="auto" w:fill="auto"/>
            <w:noWrap/>
            <w:vAlign w:val="center"/>
            <w:hideMark/>
          </w:tcPr>
          <w:p w14:paraId="553419BE" w14:textId="23170D3E"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 xml:space="preserve">13 </w:t>
            </w:r>
            <w:proofErr w:type="gramStart"/>
            <w:r w:rsidRPr="00143100">
              <w:rPr>
                <w:rFonts w:eastAsia="Times New Roman" w:cs="Times New Roman"/>
                <w:color w:val="000000"/>
                <w:szCs w:val="24"/>
                <w:lang w:eastAsia="de-CH"/>
              </w:rPr>
              <w:t>( 0.3</w:t>
            </w:r>
            <w:proofErr w:type="gramEnd"/>
            <w:r w:rsidRPr="00143100">
              <w:rPr>
                <w:rFonts w:eastAsia="Times New Roman" w:cs="Times New Roman"/>
                <w:color w:val="000000"/>
                <w:szCs w:val="24"/>
                <w:lang w:eastAsia="de-CH"/>
              </w:rPr>
              <w:t>)</w:t>
            </w:r>
          </w:p>
        </w:tc>
        <w:tc>
          <w:tcPr>
            <w:tcW w:w="1840" w:type="dxa"/>
            <w:tcBorders>
              <w:top w:val="dotted" w:sz="4" w:space="0" w:color="auto"/>
              <w:left w:val="nil"/>
              <w:bottom w:val="dotted" w:sz="4" w:space="0" w:color="auto"/>
              <w:right w:val="nil"/>
            </w:tcBorders>
            <w:shd w:val="clear" w:color="auto" w:fill="auto"/>
            <w:noWrap/>
            <w:vAlign w:val="center"/>
            <w:hideMark/>
          </w:tcPr>
          <w:p w14:paraId="4ACC70A1"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&lt;0.001</w:t>
            </w:r>
          </w:p>
        </w:tc>
      </w:tr>
      <w:tr w:rsidR="00032331" w:rsidRPr="00143100" w14:paraId="718494C1" w14:textId="77777777" w:rsidTr="00D04302">
        <w:trPr>
          <w:trHeight w:val="420"/>
        </w:trPr>
        <w:tc>
          <w:tcPr>
            <w:tcW w:w="4760" w:type="dxa"/>
            <w:tcBorders>
              <w:top w:val="dotted" w:sz="4" w:space="0" w:color="auto"/>
              <w:left w:val="nil"/>
              <w:bottom w:val="dotted" w:sz="4" w:space="0" w:color="auto"/>
              <w:right w:val="single" w:sz="8" w:space="0" w:color="auto"/>
            </w:tcBorders>
            <w:shd w:val="clear" w:color="auto" w:fill="auto"/>
            <w:noWrap/>
            <w:vAlign w:val="center"/>
            <w:hideMark/>
          </w:tcPr>
          <w:p w14:paraId="2E11A79A" w14:textId="77777777" w:rsidR="00032331" w:rsidRPr="00143100" w:rsidRDefault="00032331" w:rsidP="00CE6001">
            <w:pPr>
              <w:spacing w:after="0" w:line="240" w:lineRule="auto"/>
              <w:jc w:val="left"/>
              <w:rPr>
                <w:rFonts w:eastAsia="Times New Roman" w:cs="Times New Roman"/>
                <w:color w:val="000000"/>
                <w:szCs w:val="24"/>
                <w:lang w:eastAsia="de-CH"/>
              </w:rPr>
            </w:pPr>
            <w:r w:rsidRPr="00143100">
              <w:rPr>
                <w:rFonts w:eastAsia="Times New Roman" w:cs="Times New Roman"/>
                <w:color w:val="000000"/>
                <w:szCs w:val="24"/>
                <w:lang w:eastAsia="de-CH"/>
              </w:rPr>
              <w:t xml:space="preserve">   PCI, n (%)</w:t>
            </w:r>
          </w:p>
        </w:tc>
        <w:tc>
          <w:tcPr>
            <w:tcW w:w="2040" w:type="dxa"/>
            <w:tcBorders>
              <w:top w:val="dotted" w:sz="4" w:space="0" w:color="auto"/>
              <w:left w:val="nil"/>
              <w:bottom w:val="dotted" w:sz="4" w:space="0" w:color="auto"/>
              <w:right w:val="nil"/>
            </w:tcBorders>
            <w:shd w:val="clear" w:color="auto" w:fill="auto"/>
            <w:noWrap/>
            <w:vAlign w:val="center"/>
            <w:hideMark/>
          </w:tcPr>
          <w:p w14:paraId="765792A3" w14:textId="7CEE6FF5"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21 (15.3)</w:t>
            </w:r>
          </w:p>
        </w:tc>
        <w:tc>
          <w:tcPr>
            <w:tcW w:w="2040" w:type="dxa"/>
            <w:tcBorders>
              <w:top w:val="dotted" w:sz="4" w:space="0" w:color="auto"/>
              <w:left w:val="nil"/>
              <w:bottom w:val="dotted" w:sz="4" w:space="0" w:color="auto"/>
              <w:right w:val="nil"/>
            </w:tcBorders>
            <w:shd w:val="clear" w:color="auto" w:fill="auto"/>
            <w:noWrap/>
            <w:vAlign w:val="center"/>
            <w:hideMark/>
          </w:tcPr>
          <w:p w14:paraId="18A1734C" w14:textId="624A0F99"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249 (38.2)</w:t>
            </w:r>
          </w:p>
        </w:tc>
        <w:tc>
          <w:tcPr>
            <w:tcW w:w="1840" w:type="dxa"/>
            <w:tcBorders>
              <w:top w:val="dotted" w:sz="4" w:space="0" w:color="auto"/>
              <w:left w:val="nil"/>
              <w:bottom w:val="dotted" w:sz="4" w:space="0" w:color="auto"/>
              <w:right w:val="dotted" w:sz="4" w:space="0" w:color="auto"/>
            </w:tcBorders>
            <w:shd w:val="clear" w:color="auto" w:fill="auto"/>
            <w:noWrap/>
            <w:vAlign w:val="center"/>
            <w:hideMark/>
          </w:tcPr>
          <w:p w14:paraId="04D0FCA9"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&lt;0.001</w:t>
            </w:r>
          </w:p>
        </w:tc>
        <w:tc>
          <w:tcPr>
            <w:tcW w:w="1840" w:type="dxa"/>
            <w:tcBorders>
              <w:top w:val="dotted" w:sz="4" w:space="0" w:color="auto"/>
              <w:left w:val="nil"/>
              <w:bottom w:val="dotted" w:sz="4" w:space="0" w:color="auto"/>
              <w:right w:val="nil"/>
            </w:tcBorders>
            <w:shd w:val="clear" w:color="auto" w:fill="auto"/>
            <w:noWrap/>
            <w:vAlign w:val="center"/>
            <w:hideMark/>
          </w:tcPr>
          <w:p w14:paraId="60798EE6" w14:textId="55DB597C"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 xml:space="preserve">7 </w:t>
            </w:r>
            <w:proofErr w:type="gramStart"/>
            <w:r w:rsidRPr="00143100">
              <w:rPr>
                <w:rFonts w:eastAsia="Times New Roman" w:cs="Times New Roman"/>
                <w:color w:val="000000"/>
                <w:szCs w:val="24"/>
                <w:lang w:eastAsia="de-CH"/>
              </w:rPr>
              <w:t>( 0.2</w:t>
            </w:r>
            <w:proofErr w:type="gramEnd"/>
            <w:r w:rsidRPr="00143100">
              <w:rPr>
                <w:rFonts w:eastAsia="Times New Roman" w:cs="Times New Roman"/>
                <w:color w:val="000000"/>
                <w:szCs w:val="24"/>
                <w:lang w:eastAsia="de-CH"/>
              </w:rPr>
              <w:t>)</w:t>
            </w:r>
          </w:p>
        </w:tc>
        <w:tc>
          <w:tcPr>
            <w:tcW w:w="1840" w:type="dxa"/>
            <w:tcBorders>
              <w:top w:val="dotted" w:sz="4" w:space="0" w:color="auto"/>
              <w:left w:val="nil"/>
              <w:bottom w:val="dotted" w:sz="4" w:space="0" w:color="auto"/>
              <w:right w:val="nil"/>
            </w:tcBorders>
            <w:shd w:val="clear" w:color="auto" w:fill="auto"/>
            <w:noWrap/>
            <w:vAlign w:val="center"/>
            <w:hideMark/>
          </w:tcPr>
          <w:p w14:paraId="326BED8A"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&lt;0.001</w:t>
            </w:r>
          </w:p>
        </w:tc>
      </w:tr>
      <w:tr w:rsidR="00032331" w:rsidRPr="00143100" w14:paraId="60AFCB29" w14:textId="77777777" w:rsidTr="00D04302">
        <w:trPr>
          <w:trHeight w:val="420"/>
        </w:trPr>
        <w:tc>
          <w:tcPr>
            <w:tcW w:w="4760" w:type="dxa"/>
            <w:tcBorders>
              <w:top w:val="dotted" w:sz="4" w:space="0" w:color="auto"/>
              <w:left w:val="nil"/>
              <w:bottom w:val="single" w:sz="4" w:space="0" w:color="auto"/>
              <w:right w:val="single" w:sz="8" w:space="0" w:color="auto"/>
            </w:tcBorders>
            <w:shd w:val="clear" w:color="auto" w:fill="auto"/>
            <w:noWrap/>
            <w:vAlign w:val="center"/>
            <w:hideMark/>
          </w:tcPr>
          <w:p w14:paraId="064BB736" w14:textId="77777777" w:rsidR="00032331" w:rsidRPr="00143100" w:rsidRDefault="00032331" w:rsidP="00CE6001">
            <w:pPr>
              <w:spacing w:after="0" w:line="240" w:lineRule="auto"/>
              <w:jc w:val="left"/>
              <w:rPr>
                <w:rFonts w:eastAsia="Times New Roman" w:cs="Times New Roman"/>
                <w:color w:val="000000"/>
                <w:szCs w:val="24"/>
                <w:lang w:eastAsia="de-CH"/>
              </w:rPr>
            </w:pPr>
            <w:r w:rsidRPr="00143100">
              <w:rPr>
                <w:rFonts w:eastAsia="Times New Roman" w:cs="Times New Roman"/>
                <w:color w:val="000000"/>
                <w:szCs w:val="24"/>
                <w:lang w:eastAsia="de-CH"/>
              </w:rPr>
              <w:t xml:space="preserve">   Coronary bypass surgery, n (%)</w:t>
            </w:r>
          </w:p>
        </w:tc>
        <w:tc>
          <w:tcPr>
            <w:tcW w:w="2040" w:type="dxa"/>
            <w:tcBorders>
              <w:top w:val="dotted" w:sz="4" w:space="0" w:color="auto"/>
              <w:left w:val="nil"/>
              <w:bottom w:val="single" w:sz="4" w:space="0" w:color="auto"/>
              <w:right w:val="nil"/>
            </w:tcBorders>
            <w:shd w:val="clear" w:color="auto" w:fill="auto"/>
            <w:noWrap/>
            <w:vAlign w:val="center"/>
            <w:hideMark/>
          </w:tcPr>
          <w:p w14:paraId="21C05947" w14:textId="628AD9BC"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 xml:space="preserve">3 </w:t>
            </w:r>
            <w:proofErr w:type="gramStart"/>
            <w:r w:rsidRPr="00143100">
              <w:rPr>
                <w:rFonts w:eastAsia="Times New Roman" w:cs="Times New Roman"/>
                <w:color w:val="000000"/>
                <w:szCs w:val="24"/>
                <w:lang w:eastAsia="de-CH"/>
              </w:rPr>
              <w:t>( 2.2</w:t>
            </w:r>
            <w:proofErr w:type="gramEnd"/>
            <w:r w:rsidRPr="00143100">
              <w:rPr>
                <w:rFonts w:eastAsia="Times New Roman" w:cs="Times New Roman"/>
                <w:color w:val="000000"/>
                <w:szCs w:val="24"/>
                <w:lang w:eastAsia="de-CH"/>
              </w:rPr>
              <w:t>)</w:t>
            </w:r>
          </w:p>
        </w:tc>
        <w:tc>
          <w:tcPr>
            <w:tcW w:w="2040" w:type="dxa"/>
            <w:tcBorders>
              <w:top w:val="dotted" w:sz="4" w:space="0" w:color="auto"/>
              <w:left w:val="nil"/>
              <w:bottom w:val="single" w:sz="4" w:space="0" w:color="auto"/>
              <w:right w:val="nil"/>
            </w:tcBorders>
            <w:shd w:val="clear" w:color="auto" w:fill="auto"/>
            <w:noWrap/>
            <w:vAlign w:val="center"/>
            <w:hideMark/>
          </w:tcPr>
          <w:p w14:paraId="6B2DB748" w14:textId="5D1E6572"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 xml:space="preserve">28 </w:t>
            </w:r>
            <w:proofErr w:type="gramStart"/>
            <w:r w:rsidRPr="00143100">
              <w:rPr>
                <w:rFonts w:eastAsia="Times New Roman" w:cs="Times New Roman"/>
                <w:color w:val="000000"/>
                <w:szCs w:val="24"/>
                <w:lang w:eastAsia="de-CH"/>
              </w:rPr>
              <w:t>( 4.3</w:t>
            </w:r>
            <w:proofErr w:type="gramEnd"/>
            <w:r w:rsidRPr="00143100">
              <w:rPr>
                <w:rFonts w:eastAsia="Times New Roman" w:cs="Times New Roman"/>
                <w:color w:val="000000"/>
                <w:szCs w:val="24"/>
                <w:lang w:eastAsia="de-CH"/>
              </w:rPr>
              <w:t>)</w:t>
            </w:r>
          </w:p>
        </w:tc>
        <w:tc>
          <w:tcPr>
            <w:tcW w:w="1840" w:type="dxa"/>
            <w:tcBorders>
              <w:top w:val="dotted" w:sz="4" w:space="0" w:color="auto"/>
              <w:left w:val="nil"/>
              <w:bottom w:val="single" w:sz="4" w:space="0" w:color="auto"/>
              <w:right w:val="dotted" w:sz="4" w:space="0" w:color="auto"/>
            </w:tcBorders>
            <w:shd w:val="clear" w:color="auto" w:fill="auto"/>
            <w:noWrap/>
            <w:vAlign w:val="center"/>
            <w:hideMark/>
          </w:tcPr>
          <w:p w14:paraId="53DD31BA"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0.361</w:t>
            </w:r>
          </w:p>
        </w:tc>
        <w:tc>
          <w:tcPr>
            <w:tcW w:w="1840" w:type="dxa"/>
            <w:tcBorders>
              <w:top w:val="dotted" w:sz="4" w:space="0" w:color="auto"/>
              <w:left w:val="nil"/>
              <w:bottom w:val="single" w:sz="4" w:space="0" w:color="auto"/>
              <w:right w:val="nil"/>
            </w:tcBorders>
            <w:shd w:val="clear" w:color="auto" w:fill="auto"/>
            <w:noWrap/>
            <w:vAlign w:val="center"/>
            <w:hideMark/>
          </w:tcPr>
          <w:p w14:paraId="67C98E0D" w14:textId="53D5361F"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 xml:space="preserve">6 </w:t>
            </w:r>
            <w:proofErr w:type="gramStart"/>
            <w:r w:rsidRPr="00143100">
              <w:rPr>
                <w:rFonts w:eastAsia="Times New Roman" w:cs="Times New Roman"/>
                <w:color w:val="000000"/>
                <w:szCs w:val="24"/>
                <w:lang w:eastAsia="de-CH"/>
              </w:rPr>
              <w:t>( 0.2</w:t>
            </w:r>
            <w:proofErr w:type="gramEnd"/>
            <w:r w:rsidRPr="00143100">
              <w:rPr>
                <w:rFonts w:eastAsia="Times New Roman" w:cs="Times New Roman"/>
                <w:color w:val="000000"/>
                <w:szCs w:val="24"/>
                <w:lang w:eastAsia="de-CH"/>
              </w:rPr>
              <w:t>)</w:t>
            </w:r>
          </w:p>
        </w:tc>
        <w:tc>
          <w:tcPr>
            <w:tcW w:w="1840" w:type="dxa"/>
            <w:tcBorders>
              <w:top w:val="dotted" w:sz="4" w:space="0" w:color="auto"/>
              <w:left w:val="nil"/>
              <w:bottom w:val="single" w:sz="4" w:space="0" w:color="auto"/>
              <w:right w:val="nil"/>
            </w:tcBorders>
            <w:shd w:val="clear" w:color="auto" w:fill="auto"/>
            <w:noWrap/>
            <w:vAlign w:val="center"/>
            <w:hideMark/>
          </w:tcPr>
          <w:p w14:paraId="3A5B6EA0" w14:textId="77777777" w:rsidR="00032331" w:rsidRPr="00143100" w:rsidRDefault="00032331" w:rsidP="00D04302">
            <w:pPr>
              <w:spacing w:after="0" w:line="240" w:lineRule="auto"/>
              <w:jc w:val="center"/>
              <w:rPr>
                <w:rFonts w:eastAsia="Times New Roman" w:cs="Times New Roman"/>
                <w:color w:val="000000"/>
                <w:szCs w:val="24"/>
                <w:lang w:eastAsia="de-CH"/>
              </w:rPr>
            </w:pPr>
            <w:r w:rsidRPr="00143100">
              <w:rPr>
                <w:rFonts w:eastAsia="Times New Roman" w:cs="Times New Roman"/>
                <w:color w:val="000000"/>
                <w:szCs w:val="24"/>
                <w:lang w:eastAsia="de-CH"/>
              </w:rPr>
              <w:t>&lt;0.001</w:t>
            </w:r>
          </w:p>
        </w:tc>
      </w:tr>
    </w:tbl>
    <w:p w14:paraId="25355BB7" w14:textId="77777777" w:rsidR="00E66985" w:rsidRDefault="00250E1D">
      <w:pPr>
        <w:spacing w:after="0" w:line="240" w:lineRule="auto"/>
        <w:jc w:val="left"/>
        <w:rPr>
          <w:rFonts w:cs="Times New Roman"/>
          <w:lang w:eastAsia="en-GB"/>
        </w:rPr>
        <w:sectPr w:rsidR="00E66985" w:rsidSect="00032331">
          <w:footerReference w:type="even" r:id="rId10"/>
          <w:footerReference w:type="default" r:id="rId11"/>
          <w:pgSz w:w="16838" w:h="11906" w:orient="landscape"/>
          <w:pgMar w:top="851" w:right="851" w:bottom="851" w:left="851" w:header="709" w:footer="709" w:gutter="0"/>
          <w:cols w:space="708"/>
          <w:docGrid w:linePitch="360"/>
        </w:sectPr>
      </w:pPr>
      <w:r w:rsidRPr="00143100">
        <w:rPr>
          <w:rFonts w:cs="Times New Roman"/>
          <w:lang w:eastAsia="en-GB"/>
        </w:rPr>
        <w:br w:type="page"/>
      </w:r>
    </w:p>
    <w:p w14:paraId="314D7BBF" w14:textId="41BE4681" w:rsidR="00FF36D0" w:rsidRPr="00FF36D0" w:rsidRDefault="00D04302" w:rsidP="00FF36D0">
      <w:pPr>
        <w:spacing w:after="0"/>
        <w:jc w:val="left"/>
        <w:rPr>
          <w:rFonts w:cs="Arial"/>
          <w:szCs w:val="24"/>
        </w:rPr>
      </w:pPr>
      <w:proofErr w:type="spellStart"/>
      <w:r>
        <w:rPr>
          <w:rFonts w:cs="Arial"/>
          <w:b/>
          <w:szCs w:val="24"/>
          <w:u w:val="single"/>
        </w:rPr>
        <w:lastRenderedPageBreak/>
        <w:t>e</w:t>
      </w:r>
      <w:r w:rsidR="00317E7A">
        <w:rPr>
          <w:rFonts w:cs="Arial"/>
          <w:b/>
          <w:szCs w:val="24"/>
          <w:u w:val="single"/>
        </w:rPr>
        <w:t>Table</w:t>
      </w:r>
      <w:proofErr w:type="spellEnd"/>
      <w:r w:rsidR="00FF36D0">
        <w:rPr>
          <w:rFonts w:cs="Arial"/>
          <w:b/>
          <w:szCs w:val="24"/>
          <w:u w:val="single"/>
        </w:rPr>
        <w:t xml:space="preserve"> 4 </w:t>
      </w:r>
      <w:r w:rsidR="00FF36D0" w:rsidRPr="00FF36D0">
        <w:rPr>
          <w:rFonts w:cs="Arial"/>
          <w:szCs w:val="24"/>
        </w:rPr>
        <w:t xml:space="preserve">Results from coronary angiography performed in a subgroup (n=212) of patients with unstable angina compared to patients with non-ST-elevation myocardial infarction, with lesion morphology characterised using the Ambrose criteria. Data shown as median with interquartile range (IQR) or counts with percentage. Seven cases were not </w:t>
      </w:r>
      <w:proofErr w:type="spellStart"/>
      <w:r w:rsidR="00FF36D0" w:rsidRPr="00FF36D0">
        <w:rPr>
          <w:rFonts w:cs="Arial"/>
          <w:szCs w:val="24"/>
        </w:rPr>
        <w:t>adjudicable</w:t>
      </w:r>
      <w:proofErr w:type="spellEnd"/>
    </w:p>
    <w:tbl>
      <w:tblPr>
        <w:tblW w:w="7680" w:type="dxa"/>
        <w:tblInd w:w="70" w:type="dxa"/>
        <w:tblCellMar>
          <w:left w:w="70" w:type="dxa"/>
          <w:right w:w="70" w:type="dxa"/>
        </w:tblCellMar>
        <w:tblLook w:val="04A0" w:firstRow="1" w:lastRow="0" w:firstColumn="1" w:lastColumn="0" w:noHBand="0" w:noVBand="1"/>
      </w:tblPr>
      <w:tblGrid>
        <w:gridCol w:w="460"/>
        <w:gridCol w:w="2500"/>
        <w:gridCol w:w="1760"/>
        <w:gridCol w:w="1760"/>
        <w:gridCol w:w="1200"/>
      </w:tblGrid>
      <w:tr w:rsidR="00FF36D0" w:rsidRPr="00FF36D0" w14:paraId="4AF18ABE" w14:textId="77777777" w:rsidTr="00FF36D0">
        <w:trPr>
          <w:trHeight w:val="870"/>
        </w:trPr>
        <w:tc>
          <w:tcPr>
            <w:tcW w:w="460" w:type="dxa"/>
            <w:tcBorders>
              <w:top w:val="nil"/>
              <w:left w:val="nil"/>
              <w:bottom w:val="single" w:sz="8" w:space="0" w:color="auto"/>
              <w:right w:val="nil"/>
            </w:tcBorders>
            <w:shd w:val="clear" w:color="auto" w:fill="auto"/>
            <w:noWrap/>
            <w:vAlign w:val="center"/>
            <w:hideMark/>
          </w:tcPr>
          <w:p w14:paraId="7E7119DE" w14:textId="77777777" w:rsidR="00FF36D0" w:rsidRPr="00FF36D0" w:rsidRDefault="00FF36D0" w:rsidP="00FF36D0">
            <w:pPr>
              <w:spacing w:after="0" w:line="240" w:lineRule="auto"/>
              <w:jc w:val="left"/>
              <w:rPr>
                <w:rFonts w:eastAsia="Times New Roman" w:cs="Times New Roman"/>
                <w:color w:val="000000"/>
                <w:sz w:val="22"/>
                <w:lang w:val="de-DE" w:eastAsia="de-DE"/>
              </w:rPr>
            </w:pPr>
            <w:r w:rsidRPr="00FF36D0">
              <w:rPr>
                <w:rFonts w:eastAsia="Times New Roman" w:cs="Times New Roman"/>
                <w:color w:val="000000"/>
                <w:sz w:val="22"/>
                <w:lang w:val="de-DE" w:eastAsia="de-DE"/>
              </w:rPr>
              <w:t> </w:t>
            </w:r>
          </w:p>
        </w:tc>
        <w:tc>
          <w:tcPr>
            <w:tcW w:w="2500" w:type="dxa"/>
            <w:tcBorders>
              <w:top w:val="nil"/>
              <w:left w:val="nil"/>
              <w:bottom w:val="single" w:sz="8" w:space="0" w:color="auto"/>
              <w:right w:val="single" w:sz="4" w:space="0" w:color="auto"/>
            </w:tcBorders>
            <w:shd w:val="clear" w:color="auto" w:fill="auto"/>
            <w:noWrap/>
            <w:vAlign w:val="center"/>
            <w:hideMark/>
          </w:tcPr>
          <w:p w14:paraId="53FA4F0F" w14:textId="77777777" w:rsidR="00FF36D0" w:rsidRPr="00FF36D0" w:rsidRDefault="00FF36D0" w:rsidP="00FF36D0">
            <w:pPr>
              <w:spacing w:after="0" w:line="240" w:lineRule="auto"/>
              <w:jc w:val="left"/>
              <w:rPr>
                <w:rFonts w:eastAsia="Times New Roman" w:cs="Times New Roman"/>
                <w:color w:val="000000"/>
                <w:szCs w:val="24"/>
                <w:lang w:val="de-DE" w:eastAsia="de-DE"/>
              </w:rPr>
            </w:pPr>
            <w:r w:rsidRPr="00FF36D0">
              <w:rPr>
                <w:rFonts w:eastAsia="Times New Roman" w:cs="Times New Roman"/>
                <w:color w:val="000000"/>
                <w:szCs w:val="24"/>
                <w:lang w:val="de-DE" w:eastAsia="de-DE"/>
              </w:rPr>
              <w:t> </w:t>
            </w:r>
          </w:p>
        </w:tc>
        <w:tc>
          <w:tcPr>
            <w:tcW w:w="1760" w:type="dxa"/>
            <w:tcBorders>
              <w:top w:val="nil"/>
              <w:left w:val="nil"/>
              <w:bottom w:val="single" w:sz="8" w:space="0" w:color="auto"/>
              <w:right w:val="nil"/>
            </w:tcBorders>
            <w:shd w:val="clear" w:color="auto" w:fill="auto"/>
            <w:vAlign w:val="center"/>
            <w:hideMark/>
          </w:tcPr>
          <w:p w14:paraId="44B7E491" w14:textId="77777777" w:rsidR="00FF36D0" w:rsidRPr="00FF36D0" w:rsidRDefault="00FF36D0" w:rsidP="00FF36D0">
            <w:pPr>
              <w:spacing w:after="0" w:line="240" w:lineRule="auto"/>
              <w:jc w:val="center"/>
              <w:rPr>
                <w:rFonts w:eastAsia="Times New Roman" w:cs="Times New Roman"/>
                <w:color w:val="000000"/>
                <w:szCs w:val="24"/>
                <w:lang w:val="de-DE" w:eastAsia="de-DE"/>
              </w:rPr>
            </w:pPr>
            <w:proofErr w:type="spellStart"/>
            <w:r w:rsidRPr="00FF36D0">
              <w:rPr>
                <w:rFonts w:eastAsia="Times New Roman" w:cs="Times New Roman"/>
                <w:color w:val="000000"/>
                <w:szCs w:val="24"/>
                <w:lang w:val="de-DE" w:eastAsia="de-DE"/>
              </w:rPr>
              <w:t>Unstable</w:t>
            </w:r>
            <w:proofErr w:type="spellEnd"/>
            <w:r w:rsidRPr="00FF36D0">
              <w:rPr>
                <w:rFonts w:eastAsia="Times New Roman" w:cs="Times New Roman"/>
                <w:color w:val="000000"/>
                <w:szCs w:val="24"/>
                <w:lang w:val="de-DE" w:eastAsia="de-DE"/>
              </w:rPr>
              <w:t xml:space="preserve"> </w:t>
            </w:r>
            <w:proofErr w:type="spellStart"/>
            <w:r w:rsidRPr="00FF36D0">
              <w:rPr>
                <w:rFonts w:eastAsia="Times New Roman" w:cs="Times New Roman"/>
                <w:color w:val="000000"/>
                <w:szCs w:val="24"/>
                <w:lang w:val="de-DE" w:eastAsia="de-DE"/>
              </w:rPr>
              <w:t>angina</w:t>
            </w:r>
            <w:proofErr w:type="spellEnd"/>
            <w:r w:rsidRPr="00FF36D0">
              <w:rPr>
                <w:rFonts w:eastAsia="Times New Roman" w:cs="Times New Roman"/>
                <w:color w:val="000000"/>
                <w:szCs w:val="24"/>
                <w:lang w:val="de-DE" w:eastAsia="de-DE"/>
              </w:rPr>
              <w:br/>
              <w:t>n = 84</w:t>
            </w:r>
          </w:p>
        </w:tc>
        <w:tc>
          <w:tcPr>
            <w:tcW w:w="1760" w:type="dxa"/>
            <w:tcBorders>
              <w:top w:val="nil"/>
              <w:left w:val="nil"/>
              <w:bottom w:val="single" w:sz="8" w:space="0" w:color="auto"/>
              <w:right w:val="nil"/>
            </w:tcBorders>
            <w:shd w:val="clear" w:color="auto" w:fill="auto"/>
            <w:vAlign w:val="center"/>
            <w:hideMark/>
          </w:tcPr>
          <w:p w14:paraId="5DC85AA7"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NSTEMI</w:t>
            </w:r>
            <w:r w:rsidRPr="00FF36D0">
              <w:rPr>
                <w:rFonts w:eastAsia="Times New Roman" w:cs="Times New Roman"/>
                <w:color w:val="000000"/>
                <w:szCs w:val="24"/>
                <w:lang w:val="de-DE" w:eastAsia="de-DE"/>
              </w:rPr>
              <w:br/>
              <w:t>n = 128</w:t>
            </w:r>
          </w:p>
        </w:tc>
        <w:tc>
          <w:tcPr>
            <w:tcW w:w="1200" w:type="dxa"/>
            <w:tcBorders>
              <w:top w:val="nil"/>
              <w:left w:val="nil"/>
              <w:bottom w:val="single" w:sz="8" w:space="0" w:color="auto"/>
              <w:right w:val="nil"/>
            </w:tcBorders>
            <w:shd w:val="clear" w:color="auto" w:fill="auto"/>
            <w:vAlign w:val="center"/>
            <w:hideMark/>
          </w:tcPr>
          <w:p w14:paraId="6A4A998C"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p-</w:t>
            </w:r>
            <w:proofErr w:type="spellStart"/>
            <w:r w:rsidRPr="00FF36D0">
              <w:rPr>
                <w:rFonts w:eastAsia="Times New Roman" w:cs="Times New Roman"/>
                <w:color w:val="000000"/>
                <w:szCs w:val="24"/>
                <w:lang w:val="de-DE" w:eastAsia="de-DE"/>
              </w:rPr>
              <w:t>value</w:t>
            </w:r>
            <w:proofErr w:type="spellEnd"/>
          </w:p>
        </w:tc>
      </w:tr>
      <w:tr w:rsidR="00FF36D0" w:rsidRPr="00FF36D0" w14:paraId="0B4D8577" w14:textId="77777777" w:rsidTr="00FF36D0">
        <w:trPr>
          <w:trHeight w:val="420"/>
        </w:trPr>
        <w:tc>
          <w:tcPr>
            <w:tcW w:w="2960" w:type="dxa"/>
            <w:gridSpan w:val="2"/>
            <w:tcBorders>
              <w:top w:val="nil"/>
              <w:left w:val="nil"/>
              <w:bottom w:val="nil"/>
              <w:right w:val="single" w:sz="4" w:space="0" w:color="000000"/>
            </w:tcBorders>
            <w:shd w:val="clear" w:color="auto" w:fill="auto"/>
            <w:noWrap/>
            <w:vAlign w:val="center"/>
            <w:hideMark/>
          </w:tcPr>
          <w:p w14:paraId="2F6470AB" w14:textId="77777777" w:rsidR="00FF36D0" w:rsidRPr="00FF36D0" w:rsidRDefault="00FF36D0" w:rsidP="00FF36D0">
            <w:pPr>
              <w:spacing w:after="0" w:line="240" w:lineRule="auto"/>
              <w:jc w:val="left"/>
              <w:rPr>
                <w:rFonts w:eastAsia="Times New Roman" w:cs="Times New Roman"/>
                <w:color w:val="000000"/>
                <w:szCs w:val="24"/>
                <w:lang w:val="de-DE" w:eastAsia="de-DE"/>
              </w:rPr>
            </w:pPr>
            <w:r w:rsidRPr="00FF36D0">
              <w:rPr>
                <w:rFonts w:eastAsia="Times New Roman" w:cs="Times New Roman"/>
                <w:color w:val="000000"/>
                <w:szCs w:val="24"/>
                <w:lang w:val="de-DE" w:eastAsia="de-DE"/>
              </w:rPr>
              <w:t>Stenosis %, median (IQR)</w:t>
            </w:r>
          </w:p>
        </w:tc>
        <w:tc>
          <w:tcPr>
            <w:tcW w:w="1760" w:type="dxa"/>
            <w:tcBorders>
              <w:top w:val="nil"/>
              <w:left w:val="nil"/>
              <w:bottom w:val="nil"/>
              <w:right w:val="nil"/>
            </w:tcBorders>
            <w:shd w:val="clear" w:color="auto" w:fill="auto"/>
            <w:noWrap/>
            <w:vAlign w:val="center"/>
            <w:hideMark/>
          </w:tcPr>
          <w:p w14:paraId="3B431B33"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95 (82,5-99)</w:t>
            </w:r>
          </w:p>
        </w:tc>
        <w:tc>
          <w:tcPr>
            <w:tcW w:w="1760" w:type="dxa"/>
            <w:tcBorders>
              <w:top w:val="nil"/>
              <w:left w:val="nil"/>
              <w:bottom w:val="nil"/>
              <w:right w:val="nil"/>
            </w:tcBorders>
            <w:shd w:val="clear" w:color="auto" w:fill="auto"/>
            <w:noWrap/>
            <w:vAlign w:val="center"/>
            <w:hideMark/>
          </w:tcPr>
          <w:p w14:paraId="18774D85"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90 (75-95)</w:t>
            </w:r>
          </w:p>
        </w:tc>
        <w:tc>
          <w:tcPr>
            <w:tcW w:w="1200" w:type="dxa"/>
            <w:tcBorders>
              <w:top w:val="nil"/>
              <w:left w:val="nil"/>
              <w:bottom w:val="nil"/>
              <w:right w:val="nil"/>
            </w:tcBorders>
            <w:shd w:val="clear" w:color="auto" w:fill="auto"/>
            <w:noWrap/>
            <w:vAlign w:val="center"/>
            <w:hideMark/>
          </w:tcPr>
          <w:p w14:paraId="33E5A090"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0.01</w:t>
            </w:r>
          </w:p>
        </w:tc>
      </w:tr>
      <w:tr w:rsidR="00FF36D0" w:rsidRPr="00FF36D0" w14:paraId="7FB8E1F6" w14:textId="77777777" w:rsidTr="00FF36D0">
        <w:trPr>
          <w:trHeight w:val="420"/>
        </w:trPr>
        <w:tc>
          <w:tcPr>
            <w:tcW w:w="296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3805CED8" w14:textId="77777777" w:rsidR="00FF36D0" w:rsidRPr="00FF36D0" w:rsidRDefault="00FF36D0" w:rsidP="00FF36D0">
            <w:pPr>
              <w:spacing w:after="0" w:line="240" w:lineRule="auto"/>
              <w:jc w:val="left"/>
              <w:rPr>
                <w:rFonts w:eastAsia="Times New Roman" w:cs="Times New Roman"/>
                <w:color w:val="000000"/>
                <w:szCs w:val="24"/>
                <w:lang w:val="de-DE" w:eastAsia="de-DE"/>
              </w:rPr>
            </w:pPr>
            <w:proofErr w:type="spellStart"/>
            <w:r w:rsidRPr="00FF36D0">
              <w:rPr>
                <w:rFonts w:eastAsia="Times New Roman" w:cs="Times New Roman"/>
                <w:color w:val="000000"/>
                <w:szCs w:val="24"/>
                <w:lang w:val="de-DE" w:eastAsia="de-DE"/>
              </w:rPr>
              <w:t>Lesion</w:t>
            </w:r>
            <w:proofErr w:type="spellEnd"/>
            <w:r w:rsidRPr="00FF36D0">
              <w:rPr>
                <w:rFonts w:eastAsia="Times New Roman" w:cs="Times New Roman"/>
                <w:color w:val="000000"/>
                <w:szCs w:val="24"/>
                <w:lang w:val="de-DE" w:eastAsia="de-DE"/>
              </w:rPr>
              <w:t xml:space="preserve"> </w:t>
            </w:r>
            <w:proofErr w:type="spellStart"/>
            <w:r w:rsidRPr="00FF36D0">
              <w:rPr>
                <w:rFonts w:eastAsia="Times New Roman" w:cs="Times New Roman"/>
                <w:color w:val="000000"/>
                <w:szCs w:val="24"/>
                <w:lang w:val="de-DE" w:eastAsia="de-DE"/>
              </w:rPr>
              <w:t>morphology</w:t>
            </w:r>
            <w:proofErr w:type="spellEnd"/>
          </w:p>
        </w:tc>
        <w:tc>
          <w:tcPr>
            <w:tcW w:w="1760" w:type="dxa"/>
            <w:tcBorders>
              <w:top w:val="dotted" w:sz="4" w:space="0" w:color="auto"/>
              <w:left w:val="nil"/>
              <w:bottom w:val="dotted" w:sz="4" w:space="0" w:color="auto"/>
              <w:right w:val="nil"/>
            </w:tcBorders>
            <w:shd w:val="clear" w:color="auto" w:fill="auto"/>
            <w:noWrap/>
            <w:vAlign w:val="center"/>
            <w:hideMark/>
          </w:tcPr>
          <w:p w14:paraId="51DCF92D"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 </w:t>
            </w:r>
          </w:p>
        </w:tc>
        <w:tc>
          <w:tcPr>
            <w:tcW w:w="1760" w:type="dxa"/>
            <w:tcBorders>
              <w:top w:val="dotted" w:sz="4" w:space="0" w:color="auto"/>
              <w:left w:val="nil"/>
              <w:bottom w:val="dotted" w:sz="4" w:space="0" w:color="auto"/>
              <w:right w:val="nil"/>
            </w:tcBorders>
            <w:shd w:val="clear" w:color="auto" w:fill="auto"/>
            <w:noWrap/>
            <w:vAlign w:val="center"/>
            <w:hideMark/>
          </w:tcPr>
          <w:p w14:paraId="255022D8"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 </w:t>
            </w:r>
          </w:p>
        </w:tc>
        <w:tc>
          <w:tcPr>
            <w:tcW w:w="1200" w:type="dxa"/>
            <w:vMerge w:val="restart"/>
            <w:tcBorders>
              <w:top w:val="dotted" w:sz="4" w:space="0" w:color="auto"/>
              <w:left w:val="nil"/>
              <w:bottom w:val="dotted" w:sz="4" w:space="0" w:color="auto"/>
              <w:right w:val="nil"/>
            </w:tcBorders>
            <w:shd w:val="clear" w:color="auto" w:fill="auto"/>
            <w:noWrap/>
            <w:vAlign w:val="center"/>
            <w:hideMark/>
          </w:tcPr>
          <w:p w14:paraId="0E5576BD"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0.49</w:t>
            </w:r>
          </w:p>
        </w:tc>
      </w:tr>
      <w:tr w:rsidR="00FF36D0" w:rsidRPr="00FF36D0" w14:paraId="610022C1" w14:textId="77777777" w:rsidTr="00FF36D0">
        <w:trPr>
          <w:trHeight w:val="420"/>
        </w:trPr>
        <w:tc>
          <w:tcPr>
            <w:tcW w:w="460" w:type="dxa"/>
            <w:tcBorders>
              <w:top w:val="nil"/>
              <w:left w:val="nil"/>
              <w:bottom w:val="dotted" w:sz="4" w:space="0" w:color="auto"/>
              <w:right w:val="nil"/>
            </w:tcBorders>
            <w:shd w:val="clear" w:color="auto" w:fill="auto"/>
            <w:noWrap/>
            <w:vAlign w:val="center"/>
            <w:hideMark/>
          </w:tcPr>
          <w:p w14:paraId="72C18822" w14:textId="77777777" w:rsidR="00FF36D0" w:rsidRPr="00FF36D0" w:rsidRDefault="00FF36D0" w:rsidP="00FF36D0">
            <w:pPr>
              <w:spacing w:after="0" w:line="240" w:lineRule="auto"/>
              <w:jc w:val="left"/>
              <w:rPr>
                <w:rFonts w:eastAsia="Times New Roman" w:cs="Times New Roman"/>
                <w:color w:val="000000"/>
                <w:sz w:val="22"/>
                <w:lang w:val="de-DE" w:eastAsia="de-DE"/>
              </w:rPr>
            </w:pPr>
            <w:r w:rsidRPr="00FF36D0">
              <w:rPr>
                <w:rFonts w:eastAsia="Times New Roman" w:cs="Times New Roman"/>
                <w:color w:val="000000"/>
                <w:sz w:val="22"/>
                <w:lang w:val="de-DE" w:eastAsia="de-DE"/>
              </w:rPr>
              <w:t> </w:t>
            </w:r>
          </w:p>
        </w:tc>
        <w:tc>
          <w:tcPr>
            <w:tcW w:w="2500" w:type="dxa"/>
            <w:tcBorders>
              <w:top w:val="nil"/>
              <w:left w:val="nil"/>
              <w:bottom w:val="dotted" w:sz="4" w:space="0" w:color="auto"/>
              <w:right w:val="single" w:sz="4" w:space="0" w:color="auto"/>
            </w:tcBorders>
            <w:shd w:val="clear" w:color="auto" w:fill="auto"/>
            <w:vAlign w:val="center"/>
            <w:hideMark/>
          </w:tcPr>
          <w:p w14:paraId="0590849B" w14:textId="77777777" w:rsidR="00FF36D0" w:rsidRPr="00FF36D0" w:rsidRDefault="00FF36D0" w:rsidP="00FF36D0">
            <w:pPr>
              <w:spacing w:after="0" w:line="240" w:lineRule="auto"/>
              <w:jc w:val="left"/>
              <w:rPr>
                <w:rFonts w:eastAsia="Times New Roman" w:cs="Times New Roman"/>
                <w:color w:val="000000"/>
                <w:szCs w:val="24"/>
                <w:lang w:val="de-DE" w:eastAsia="de-DE"/>
              </w:rPr>
            </w:pPr>
            <w:proofErr w:type="spellStart"/>
            <w:r w:rsidRPr="00FF36D0">
              <w:rPr>
                <w:rFonts w:eastAsia="Times New Roman" w:cs="Times New Roman"/>
                <w:color w:val="000000"/>
                <w:szCs w:val="24"/>
                <w:lang w:val="de-DE" w:eastAsia="de-DE"/>
              </w:rPr>
              <w:t>Concentric</w:t>
            </w:r>
            <w:proofErr w:type="spellEnd"/>
          </w:p>
        </w:tc>
        <w:tc>
          <w:tcPr>
            <w:tcW w:w="1760" w:type="dxa"/>
            <w:tcBorders>
              <w:top w:val="nil"/>
              <w:left w:val="nil"/>
              <w:bottom w:val="dotted" w:sz="4" w:space="0" w:color="auto"/>
              <w:right w:val="nil"/>
            </w:tcBorders>
            <w:shd w:val="clear" w:color="auto" w:fill="auto"/>
            <w:noWrap/>
            <w:vAlign w:val="center"/>
            <w:hideMark/>
          </w:tcPr>
          <w:p w14:paraId="143BD25A"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22 (27%)</w:t>
            </w:r>
          </w:p>
        </w:tc>
        <w:tc>
          <w:tcPr>
            <w:tcW w:w="1760" w:type="dxa"/>
            <w:tcBorders>
              <w:top w:val="nil"/>
              <w:left w:val="nil"/>
              <w:bottom w:val="dotted" w:sz="4" w:space="0" w:color="auto"/>
              <w:right w:val="nil"/>
            </w:tcBorders>
            <w:shd w:val="clear" w:color="auto" w:fill="auto"/>
            <w:noWrap/>
            <w:vAlign w:val="center"/>
            <w:hideMark/>
          </w:tcPr>
          <w:p w14:paraId="56018855"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22 (18%)</w:t>
            </w:r>
          </w:p>
        </w:tc>
        <w:tc>
          <w:tcPr>
            <w:tcW w:w="1200" w:type="dxa"/>
            <w:vMerge/>
            <w:tcBorders>
              <w:top w:val="dotted" w:sz="4" w:space="0" w:color="auto"/>
              <w:left w:val="nil"/>
              <w:bottom w:val="dotted" w:sz="4" w:space="0" w:color="auto"/>
              <w:right w:val="nil"/>
            </w:tcBorders>
            <w:vAlign w:val="center"/>
            <w:hideMark/>
          </w:tcPr>
          <w:p w14:paraId="13D80337" w14:textId="77777777" w:rsidR="00FF36D0" w:rsidRPr="00FF36D0" w:rsidRDefault="00FF36D0" w:rsidP="00FF36D0">
            <w:pPr>
              <w:spacing w:after="0" w:line="240" w:lineRule="auto"/>
              <w:jc w:val="left"/>
              <w:rPr>
                <w:rFonts w:eastAsia="Times New Roman" w:cs="Times New Roman"/>
                <w:color w:val="000000"/>
                <w:szCs w:val="24"/>
                <w:lang w:val="de-DE" w:eastAsia="de-DE"/>
              </w:rPr>
            </w:pPr>
          </w:p>
        </w:tc>
      </w:tr>
      <w:tr w:rsidR="00FF36D0" w:rsidRPr="00FF36D0" w14:paraId="0DEF61E4" w14:textId="77777777" w:rsidTr="00FF36D0">
        <w:trPr>
          <w:trHeight w:val="420"/>
        </w:trPr>
        <w:tc>
          <w:tcPr>
            <w:tcW w:w="460" w:type="dxa"/>
            <w:tcBorders>
              <w:top w:val="nil"/>
              <w:left w:val="nil"/>
              <w:bottom w:val="dotted" w:sz="4" w:space="0" w:color="auto"/>
              <w:right w:val="nil"/>
            </w:tcBorders>
            <w:shd w:val="clear" w:color="auto" w:fill="auto"/>
            <w:noWrap/>
            <w:vAlign w:val="center"/>
            <w:hideMark/>
          </w:tcPr>
          <w:p w14:paraId="5D4234C8" w14:textId="77777777" w:rsidR="00FF36D0" w:rsidRPr="00FF36D0" w:rsidRDefault="00FF36D0" w:rsidP="00FF36D0">
            <w:pPr>
              <w:spacing w:after="0" w:line="240" w:lineRule="auto"/>
              <w:jc w:val="left"/>
              <w:rPr>
                <w:rFonts w:eastAsia="Times New Roman" w:cs="Times New Roman"/>
                <w:color w:val="000000"/>
                <w:sz w:val="22"/>
                <w:lang w:val="de-DE" w:eastAsia="de-DE"/>
              </w:rPr>
            </w:pPr>
            <w:r w:rsidRPr="00FF36D0">
              <w:rPr>
                <w:rFonts w:eastAsia="Times New Roman" w:cs="Times New Roman"/>
                <w:color w:val="000000"/>
                <w:sz w:val="22"/>
                <w:lang w:val="de-DE" w:eastAsia="de-DE"/>
              </w:rPr>
              <w:t> </w:t>
            </w:r>
          </w:p>
        </w:tc>
        <w:tc>
          <w:tcPr>
            <w:tcW w:w="2500" w:type="dxa"/>
            <w:tcBorders>
              <w:top w:val="nil"/>
              <w:left w:val="nil"/>
              <w:bottom w:val="dotted" w:sz="4" w:space="0" w:color="auto"/>
              <w:right w:val="single" w:sz="4" w:space="0" w:color="auto"/>
            </w:tcBorders>
            <w:shd w:val="clear" w:color="auto" w:fill="auto"/>
            <w:vAlign w:val="center"/>
            <w:hideMark/>
          </w:tcPr>
          <w:p w14:paraId="4FEFC15C" w14:textId="77777777" w:rsidR="00FF36D0" w:rsidRPr="00FF36D0" w:rsidRDefault="00FF36D0" w:rsidP="00FF36D0">
            <w:pPr>
              <w:spacing w:after="0" w:line="240" w:lineRule="auto"/>
              <w:jc w:val="left"/>
              <w:rPr>
                <w:rFonts w:eastAsia="Times New Roman" w:cs="Times New Roman"/>
                <w:color w:val="000000"/>
                <w:szCs w:val="24"/>
                <w:lang w:val="de-DE" w:eastAsia="de-DE"/>
              </w:rPr>
            </w:pPr>
            <w:proofErr w:type="spellStart"/>
            <w:r w:rsidRPr="00FF36D0">
              <w:rPr>
                <w:rFonts w:eastAsia="Times New Roman" w:cs="Times New Roman"/>
                <w:color w:val="000000"/>
                <w:szCs w:val="24"/>
                <w:lang w:val="de-DE" w:eastAsia="de-DE"/>
              </w:rPr>
              <w:t>Eccentric</w:t>
            </w:r>
            <w:proofErr w:type="spellEnd"/>
            <w:r w:rsidRPr="00FF36D0">
              <w:rPr>
                <w:rFonts w:eastAsia="Times New Roman" w:cs="Times New Roman"/>
                <w:color w:val="000000"/>
                <w:szCs w:val="24"/>
                <w:lang w:val="de-DE" w:eastAsia="de-DE"/>
              </w:rPr>
              <w:t xml:space="preserve"> Typ I</w:t>
            </w:r>
          </w:p>
        </w:tc>
        <w:tc>
          <w:tcPr>
            <w:tcW w:w="1760" w:type="dxa"/>
            <w:tcBorders>
              <w:top w:val="nil"/>
              <w:left w:val="nil"/>
              <w:bottom w:val="dotted" w:sz="4" w:space="0" w:color="auto"/>
              <w:right w:val="nil"/>
            </w:tcBorders>
            <w:shd w:val="clear" w:color="auto" w:fill="auto"/>
            <w:noWrap/>
            <w:vAlign w:val="center"/>
            <w:hideMark/>
          </w:tcPr>
          <w:p w14:paraId="3BD9C50F"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12 (14%)</w:t>
            </w:r>
          </w:p>
        </w:tc>
        <w:tc>
          <w:tcPr>
            <w:tcW w:w="1760" w:type="dxa"/>
            <w:tcBorders>
              <w:top w:val="nil"/>
              <w:left w:val="nil"/>
              <w:bottom w:val="dotted" w:sz="4" w:space="0" w:color="auto"/>
              <w:right w:val="nil"/>
            </w:tcBorders>
            <w:shd w:val="clear" w:color="auto" w:fill="auto"/>
            <w:noWrap/>
            <w:vAlign w:val="center"/>
            <w:hideMark/>
          </w:tcPr>
          <w:p w14:paraId="2C6993BD"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13 (11%)</w:t>
            </w:r>
          </w:p>
        </w:tc>
        <w:tc>
          <w:tcPr>
            <w:tcW w:w="1200" w:type="dxa"/>
            <w:vMerge/>
            <w:tcBorders>
              <w:top w:val="dotted" w:sz="4" w:space="0" w:color="auto"/>
              <w:left w:val="nil"/>
              <w:bottom w:val="dotted" w:sz="4" w:space="0" w:color="auto"/>
              <w:right w:val="nil"/>
            </w:tcBorders>
            <w:vAlign w:val="center"/>
            <w:hideMark/>
          </w:tcPr>
          <w:p w14:paraId="6955717B" w14:textId="77777777" w:rsidR="00FF36D0" w:rsidRPr="00FF36D0" w:rsidRDefault="00FF36D0" w:rsidP="00FF36D0">
            <w:pPr>
              <w:spacing w:after="0" w:line="240" w:lineRule="auto"/>
              <w:jc w:val="left"/>
              <w:rPr>
                <w:rFonts w:eastAsia="Times New Roman" w:cs="Times New Roman"/>
                <w:color w:val="000000"/>
                <w:szCs w:val="24"/>
                <w:lang w:val="de-DE" w:eastAsia="de-DE"/>
              </w:rPr>
            </w:pPr>
          </w:p>
        </w:tc>
      </w:tr>
      <w:tr w:rsidR="00FF36D0" w:rsidRPr="00FF36D0" w14:paraId="76F66593" w14:textId="77777777" w:rsidTr="00FF36D0">
        <w:trPr>
          <w:trHeight w:val="420"/>
        </w:trPr>
        <w:tc>
          <w:tcPr>
            <w:tcW w:w="460" w:type="dxa"/>
            <w:tcBorders>
              <w:top w:val="nil"/>
              <w:left w:val="nil"/>
              <w:bottom w:val="dotted" w:sz="4" w:space="0" w:color="auto"/>
              <w:right w:val="nil"/>
            </w:tcBorders>
            <w:shd w:val="clear" w:color="auto" w:fill="auto"/>
            <w:noWrap/>
            <w:vAlign w:val="center"/>
            <w:hideMark/>
          </w:tcPr>
          <w:p w14:paraId="338B1204" w14:textId="77777777" w:rsidR="00FF36D0" w:rsidRPr="00FF36D0" w:rsidRDefault="00FF36D0" w:rsidP="00FF36D0">
            <w:pPr>
              <w:spacing w:after="0" w:line="240" w:lineRule="auto"/>
              <w:jc w:val="left"/>
              <w:rPr>
                <w:rFonts w:eastAsia="Times New Roman" w:cs="Times New Roman"/>
                <w:color w:val="000000"/>
                <w:sz w:val="22"/>
                <w:lang w:val="de-DE" w:eastAsia="de-DE"/>
              </w:rPr>
            </w:pPr>
            <w:r w:rsidRPr="00FF36D0">
              <w:rPr>
                <w:rFonts w:eastAsia="Times New Roman" w:cs="Times New Roman"/>
                <w:color w:val="000000"/>
                <w:sz w:val="22"/>
                <w:lang w:val="de-DE" w:eastAsia="de-DE"/>
              </w:rPr>
              <w:t> </w:t>
            </w:r>
          </w:p>
        </w:tc>
        <w:tc>
          <w:tcPr>
            <w:tcW w:w="2500" w:type="dxa"/>
            <w:tcBorders>
              <w:top w:val="nil"/>
              <w:left w:val="nil"/>
              <w:bottom w:val="dotted" w:sz="4" w:space="0" w:color="auto"/>
              <w:right w:val="single" w:sz="4" w:space="0" w:color="auto"/>
            </w:tcBorders>
            <w:shd w:val="clear" w:color="auto" w:fill="auto"/>
            <w:vAlign w:val="center"/>
            <w:hideMark/>
          </w:tcPr>
          <w:p w14:paraId="793EE10B" w14:textId="77777777" w:rsidR="00FF36D0" w:rsidRPr="00FF36D0" w:rsidRDefault="00FF36D0" w:rsidP="00FF36D0">
            <w:pPr>
              <w:spacing w:after="0" w:line="240" w:lineRule="auto"/>
              <w:jc w:val="left"/>
              <w:rPr>
                <w:rFonts w:eastAsia="Times New Roman" w:cs="Times New Roman"/>
                <w:color w:val="000000"/>
                <w:szCs w:val="24"/>
                <w:lang w:val="de-DE" w:eastAsia="de-DE"/>
              </w:rPr>
            </w:pPr>
            <w:proofErr w:type="spellStart"/>
            <w:r w:rsidRPr="00FF36D0">
              <w:rPr>
                <w:rFonts w:eastAsia="Times New Roman" w:cs="Times New Roman"/>
                <w:color w:val="000000"/>
                <w:szCs w:val="24"/>
                <w:lang w:val="de-DE" w:eastAsia="de-DE"/>
              </w:rPr>
              <w:t>Eccentic</w:t>
            </w:r>
            <w:proofErr w:type="spellEnd"/>
            <w:r w:rsidRPr="00FF36D0">
              <w:rPr>
                <w:rFonts w:eastAsia="Times New Roman" w:cs="Times New Roman"/>
                <w:color w:val="000000"/>
                <w:szCs w:val="24"/>
                <w:lang w:val="de-DE" w:eastAsia="de-DE"/>
              </w:rPr>
              <w:t xml:space="preserve"> Typ II</w:t>
            </w:r>
          </w:p>
        </w:tc>
        <w:tc>
          <w:tcPr>
            <w:tcW w:w="1760" w:type="dxa"/>
            <w:tcBorders>
              <w:top w:val="nil"/>
              <w:left w:val="nil"/>
              <w:bottom w:val="dotted" w:sz="4" w:space="0" w:color="auto"/>
              <w:right w:val="nil"/>
            </w:tcBorders>
            <w:shd w:val="clear" w:color="auto" w:fill="auto"/>
            <w:noWrap/>
            <w:vAlign w:val="center"/>
            <w:hideMark/>
          </w:tcPr>
          <w:p w14:paraId="7C4C48AC"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25 (30%)</w:t>
            </w:r>
          </w:p>
        </w:tc>
        <w:tc>
          <w:tcPr>
            <w:tcW w:w="1760" w:type="dxa"/>
            <w:tcBorders>
              <w:top w:val="nil"/>
              <w:left w:val="nil"/>
              <w:bottom w:val="dotted" w:sz="4" w:space="0" w:color="auto"/>
              <w:right w:val="nil"/>
            </w:tcBorders>
            <w:shd w:val="clear" w:color="auto" w:fill="auto"/>
            <w:noWrap/>
            <w:vAlign w:val="center"/>
            <w:hideMark/>
          </w:tcPr>
          <w:p w14:paraId="158CDB0F"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47 (39%)</w:t>
            </w:r>
          </w:p>
        </w:tc>
        <w:tc>
          <w:tcPr>
            <w:tcW w:w="1200" w:type="dxa"/>
            <w:vMerge/>
            <w:tcBorders>
              <w:top w:val="dotted" w:sz="4" w:space="0" w:color="auto"/>
              <w:left w:val="nil"/>
              <w:bottom w:val="dotted" w:sz="4" w:space="0" w:color="auto"/>
              <w:right w:val="nil"/>
            </w:tcBorders>
            <w:vAlign w:val="center"/>
            <w:hideMark/>
          </w:tcPr>
          <w:p w14:paraId="57BC8991" w14:textId="77777777" w:rsidR="00FF36D0" w:rsidRPr="00FF36D0" w:rsidRDefault="00FF36D0" w:rsidP="00FF36D0">
            <w:pPr>
              <w:spacing w:after="0" w:line="240" w:lineRule="auto"/>
              <w:jc w:val="left"/>
              <w:rPr>
                <w:rFonts w:eastAsia="Times New Roman" w:cs="Times New Roman"/>
                <w:color w:val="000000"/>
                <w:szCs w:val="24"/>
                <w:lang w:val="de-DE" w:eastAsia="de-DE"/>
              </w:rPr>
            </w:pPr>
          </w:p>
        </w:tc>
      </w:tr>
      <w:tr w:rsidR="00FF36D0" w:rsidRPr="00FF36D0" w14:paraId="12DEB660" w14:textId="77777777" w:rsidTr="00FF36D0">
        <w:trPr>
          <w:trHeight w:val="420"/>
        </w:trPr>
        <w:tc>
          <w:tcPr>
            <w:tcW w:w="460" w:type="dxa"/>
            <w:tcBorders>
              <w:top w:val="nil"/>
              <w:left w:val="nil"/>
              <w:bottom w:val="dotted" w:sz="4" w:space="0" w:color="auto"/>
              <w:right w:val="nil"/>
            </w:tcBorders>
            <w:shd w:val="clear" w:color="auto" w:fill="auto"/>
            <w:noWrap/>
            <w:vAlign w:val="center"/>
            <w:hideMark/>
          </w:tcPr>
          <w:p w14:paraId="65A3B9CD" w14:textId="77777777" w:rsidR="00FF36D0" w:rsidRPr="00FF36D0" w:rsidRDefault="00FF36D0" w:rsidP="00FF36D0">
            <w:pPr>
              <w:spacing w:after="0" w:line="240" w:lineRule="auto"/>
              <w:jc w:val="left"/>
              <w:rPr>
                <w:rFonts w:eastAsia="Times New Roman" w:cs="Times New Roman"/>
                <w:color w:val="000000"/>
                <w:sz w:val="22"/>
                <w:lang w:val="de-DE" w:eastAsia="de-DE"/>
              </w:rPr>
            </w:pPr>
            <w:r w:rsidRPr="00FF36D0">
              <w:rPr>
                <w:rFonts w:eastAsia="Times New Roman" w:cs="Times New Roman"/>
                <w:color w:val="000000"/>
                <w:sz w:val="22"/>
                <w:lang w:val="de-DE" w:eastAsia="de-DE"/>
              </w:rPr>
              <w:t> </w:t>
            </w:r>
          </w:p>
        </w:tc>
        <w:tc>
          <w:tcPr>
            <w:tcW w:w="2500" w:type="dxa"/>
            <w:tcBorders>
              <w:top w:val="nil"/>
              <w:left w:val="nil"/>
              <w:bottom w:val="dotted" w:sz="4" w:space="0" w:color="auto"/>
              <w:right w:val="single" w:sz="4" w:space="0" w:color="auto"/>
            </w:tcBorders>
            <w:shd w:val="clear" w:color="auto" w:fill="auto"/>
            <w:vAlign w:val="center"/>
            <w:hideMark/>
          </w:tcPr>
          <w:p w14:paraId="551BE1FC" w14:textId="77777777" w:rsidR="00FF36D0" w:rsidRPr="00FF36D0" w:rsidRDefault="00FF36D0" w:rsidP="00FF36D0">
            <w:pPr>
              <w:spacing w:after="0" w:line="240" w:lineRule="auto"/>
              <w:jc w:val="left"/>
              <w:rPr>
                <w:rFonts w:eastAsia="Times New Roman" w:cs="Times New Roman"/>
                <w:color w:val="000000"/>
                <w:szCs w:val="24"/>
                <w:lang w:val="de-DE" w:eastAsia="de-DE"/>
              </w:rPr>
            </w:pPr>
            <w:r w:rsidRPr="00FF36D0">
              <w:rPr>
                <w:rFonts w:eastAsia="Times New Roman" w:cs="Times New Roman"/>
                <w:color w:val="000000"/>
                <w:szCs w:val="24"/>
                <w:lang w:val="de-DE" w:eastAsia="de-DE"/>
              </w:rPr>
              <w:t xml:space="preserve">Multiple </w:t>
            </w:r>
            <w:proofErr w:type="spellStart"/>
            <w:r w:rsidRPr="00FF36D0">
              <w:rPr>
                <w:rFonts w:eastAsia="Times New Roman" w:cs="Times New Roman"/>
                <w:color w:val="000000"/>
                <w:szCs w:val="24"/>
                <w:lang w:val="de-DE" w:eastAsia="de-DE"/>
              </w:rPr>
              <w:t>Irregularities</w:t>
            </w:r>
            <w:proofErr w:type="spellEnd"/>
          </w:p>
        </w:tc>
        <w:tc>
          <w:tcPr>
            <w:tcW w:w="1760" w:type="dxa"/>
            <w:tcBorders>
              <w:top w:val="nil"/>
              <w:left w:val="nil"/>
              <w:bottom w:val="dotted" w:sz="4" w:space="0" w:color="auto"/>
              <w:right w:val="nil"/>
            </w:tcBorders>
            <w:shd w:val="clear" w:color="auto" w:fill="auto"/>
            <w:noWrap/>
            <w:vAlign w:val="center"/>
            <w:hideMark/>
          </w:tcPr>
          <w:p w14:paraId="29B96BB2"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13 (16%)</w:t>
            </w:r>
          </w:p>
        </w:tc>
        <w:tc>
          <w:tcPr>
            <w:tcW w:w="1760" w:type="dxa"/>
            <w:tcBorders>
              <w:top w:val="nil"/>
              <w:left w:val="nil"/>
              <w:bottom w:val="dotted" w:sz="4" w:space="0" w:color="auto"/>
              <w:right w:val="nil"/>
            </w:tcBorders>
            <w:shd w:val="clear" w:color="auto" w:fill="auto"/>
            <w:noWrap/>
            <w:vAlign w:val="center"/>
            <w:hideMark/>
          </w:tcPr>
          <w:p w14:paraId="49655BC3"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21 (17%)</w:t>
            </w:r>
          </w:p>
        </w:tc>
        <w:tc>
          <w:tcPr>
            <w:tcW w:w="1200" w:type="dxa"/>
            <w:vMerge/>
            <w:tcBorders>
              <w:top w:val="dotted" w:sz="4" w:space="0" w:color="auto"/>
              <w:left w:val="nil"/>
              <w:bottom w:val="dotted" w:sz="4" w:space="0" w:color="auto"/>
              <w:right w:val="nil"/>
            </w:tcBorders>
            <w:vAlign w:val="center"/>
            <w:hideMark/>
          </w:tcPr>
          <w:p w14:paraId="507E2859" w14:textId="77777777" w:rsidR="00FF36D0" w:rsidRPr="00FF36D0" w:rsidRDefault="00FF36D0" w:rsidP="00FF36D0">
            <w:pPr>
              <w:spacing w:after="0" w:line="240" w:lineRule="auto"/>
              <w:jc w:val="left"/>
              <w:rPr>
                <w:rFonts w:eastAsia="Times New Roman" w:cs="Times New Roman"/>
                <w:color w:val="000000"/>
                <w:szCs w:val="24"/>
                <w:lang w:val="de-DE" w:eastAsia="de-DE"/>
              </w:rPr>
            </w:pPr>
          </w:p>
        </w:tc>
      </w:tr>
      <w:tr w:rsidR="00FF36D0" w:rsidRPr="00FF36D0" w14:paraId="31933922" w14:textId="77777777" w:rsidTr="00FF36D0">
        <w:trPr>
          <w:trHeight w:val="420"/>
        </w:trPr>
        <w:tc>
          <w:tcPr>
            <w:tcW w:w="460" w:type="dxa"/>
            <w:tcBorders>
              <w:top w:val="nil"/>
              <w:left w:val="nil"/>
              <w:bottom w:val="dotted" w:sz="4" w:space="0" w:color="auto"/>
              <w:right w:val="nil"/>
            </w:tcBorders>
            <w:shd w:val="clear" w:color="auto" w:fill="auto"/>
            <w:noWrap/>
            <w:vAlign w:val="center"/>
            <w:hideMark/>
          </w:tcPr>
          <w:p w14:paraId="050744C4" w14:textId="77777777" w:rsidR="00FF36D0" w:rsidRPr="00FF36D0" w:rsidRDefault="00FF36D0" w:rsidP="00FF36D0">
            <w:pPr>
              <w:spacing w:after="0" w:line="240" w:lineRule="auto"/>
              <w:jc w:val="left"/>
              <w:rPr>
                <w:rFonts w:eastAsia="Times New Roman" w:cs="Times New Roman"/>
                <w:color w:val="000000"/>
                <w:sz w:val="22"/>
                <w:lang w:val="de-DE" w:eastAsia="de-DE"/>
              </w:rPr>
            </w:pPr>
            <w:r w:rsidRPr="00FF36D0">
              <w:rPr>
                <w:rFonts w:eastAsia="Times New Roman" w:cs="Times New Roman"/>
                <w:color w:val="000000"/>
                <w:sz w:val="22"/>
                <w:lang w:val="de-DE" w:eastAsia="de-DE"/>
              </w:rPr>
              <w:t> </w:t>
            </w:r>
          </w:p>
        </w:tc>
        <w:tc>
          <w:tcPr>
            <w:tcW w:w="2500" w:type="dxa"/>
            <w:tcBorders>
              <w:top w:val="nil"/>
              <w:left w:val="nil"/>
              <w:bottom w:val="dotted" w:sz="4" w:space="0" w:color="auto"/>
              <w:right w:val="single" w:sz="4" w:space="0" w:color="auto"/>
            </w:tcBorders>
            <w:shd w:val="clear" w:color="auto" w:fill="auto"/>
            <w:vAlign w:val="center"/>
            <w:hideMark/>
          </w:tcPr>
          <w:p w14:paraId="02E5B60D" w14:textId="77777777" w:rsidR="00FF36D0" w:rsidRPr="00FF36D0" w:rsidRDefault="00FF36D0" w:rsidP="00FF36D0">
            <w:pPr>
              <w:spacing w:after="0" w:line="240" w:lineRule="auto"/>
              <w:jc w:val="left"/>
              <w:rPr>
                <w:rFonts w:eastAsia="Times New Roman" w:cs="Times New Roman"/>
                <w:color w:val="000000"/>
                <w:szCs w:val="24"/>
                <w:lang w:val="de-DE" w:eastAsia="de-DE"/>
              </w:rPr>
            </w:pPr>
            <w:proofErr w:type="spellStart"/>
            <w:r w:rsidRPr="00FF36D0">
              <w:rPr>
                <w:rFonts w:eastAsia="Times New Roman" w:cs="Times New Roman"/>
                <w:color w:val="000000"/>
                <w:szCs w:val="24"/>
                <w:lang w:val="de-DE" w:eastAsia="de-DE"/>
              </w:rPr>
              <w:t>Totally</w:t>
            </w:r>
            <w:proofErr w:type="spellEnd"/>
            <w:r w:rsidRPr="00FF36D0">
              <w:rPr>
                <w:rFonts w:eastAsia="Times New Roman" w:cs="Times New Roman"/>
                <w:color w:val="000000"/>
                <w:szCs w:val="24"/>
                <w:lang w:val="de-DE" w:eastAsia="de-DE"/>
              </w:rPr>
              <w:t xml:space="preserve"> </w:t>
            </w:r>
            <w:proofErr w:type="spellStart"/>
            <w:r w:rsidRPr="00FF36D0">
              <w:rPr>
                <w:rFonts w:eastAsia="Times New Roman" w:cs="Times New Roman"/>
                <w:color w:val="000000"/>
                <w:szCs w:val="24"/>
                <w:lang w:val="de-DE" w:eastAsia="de-DE"/>
              </w:rPr>
              <w:t>occluded</w:t>
            </w:r>
            <w:proofErr w:type="spellEnd"/>
          </w:p>
        </w:tc>
        <w:tc>
          <w:tcPr>
            <w:tcW w:w="1760" w:type="dxa"/>
            <w:tcBorders>
              <w:top w:val="nil"/>
              <w:left w:val="nil"/>
              <w:bottom w:val="dotted" w:sz="4" w:space="0" w:color="auto"/>
              <w:right w:val="nil"/>
            </w:tcBorders>
            <w:shd w:val="clear" w:color="auto" w:fill="auto"/>
            <w:noWrap/>
            <w:vAlign w:val="center"/>
            <w:hideMark/>
          </w:tcPr>
          <w:p w14:paraId="4185AF98"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11 (13%)</w:t>
            </w:r>
          </w:p>
        </w:tc>
        <w:tc>
          <w:tcPr>
            <w:tcW w:w="1760" w:type="dxa"/>
            <w:tcBorders>
              <w:top w:val="nil"/>
              <w:left w:val="nil"/>
              <w:bottom w:val="dotted" w:sz="4" w:space="0" w:color="auto"/>
              <w:right w:val="nil"/>
            </w:tcBorders>
            <w:shd w:val="clear" w:color="auto" w:fill="auto"/>
            <w:noWrap/>
            <w:vAlign w:val="center"/>
            <w:hideMark/>
          </w:tcPr>
          <w:p w14:paraId="40AE2DC4"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19 (16%)</w:t>
            </w:r>
          </w:p>
        </w:tc>
        <w:tc>
          <w:tcPr>
            <w:tcW w:w="1200" w:type="dxa"/>
            <w:vMerge/>
            <w:tcBorders>
              <w:top w:val="dotted" w:sz="4" w:space="0" w:color="auto"/>
              <w:left w:val="nil"/>
              <w:bottom w:val="dotted" w:sz="4" w:space="0" w:color="auto"/>
              <w:right w:val="nil"/>
            </w:tcBorders>
            <w:vAlign w:val="center"/>
            <w:hideMark/>
          </w:tcPr>
          <w:p w14:paraId="751E96FC" w14:textId="77777777" w:rsidR="00FF36D0" w:rsidRPr="00FF36D0" w:rsidRDefault="00FF36D0" w:rsidP="00FF36D0">
            <w:pPr>
              <w:spacing w:after="0" w:line="240" w:lineRule="auto"/>
              <w:jc w:val="left"/>
              <w:rPr>
                <w:rFonts w:eastAsia="Times New Roman" w:cs="Times New Roman"/>
                <w:color w:val="000000"/>
                <w:szCs w:val="24"/>
                <w:lang w:val="de-DE" w:eastAsia="de-DE"/>
              </w:rPr>
            </w:pPr>
          </w:p>
        </w:tc>
      </w:tr>
      <w:tr w:rsidR="00FF36D0" w:rsidRPr="00FF36D0" w14:paraId="2E15994C" w14:textId="77777777" w:rsidTr="00FF36D0">
        <w:trPr>
          <w:trHeight w:val="420"/>
        </w:trPr>
        <w:tc>
          <w:tcPr>
            <w:tcW w:w="296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7803A34B" w14:textId="77777777" w:rsidR="00FF36D0" w:rsidRPr="00FF36D0" w:rsidRDefault="00FF36D0" w:rsidP="00FF36D0">
            <w:pPr>
              <w:spacing w:after="0" w:line="240" w:lineRule="auto"/>
              <w:jc w:val="left"/>
              <w:rPr>
                <w:rFonts w:eastAsia="Times New Roman" w:cs="Times New Roman"/>
                <w:color w:val="000000"/>
                <w:szCs w:val="24"/>
                <w:lang w:val="de-DE" w:eastAsia="de-DE"/>
              </w:rPr>
            </w:pPr>
            <w:proofErr w:type="spellStart"/>
            <w:r w:rsidRPr="00FF36D0">
              <w:rPr>
                <w:rFonts w:eastAsia="Times New Roman" w:cs="Times New Roman"/>
                <w:color w:val="000000"/>
                <w:szCs w:val="24"/>
                <w:lang w:val="de-DE" w:eastAsia="de-DE"/>
              </w:rPr>
              <w:t>Filling</w:t>
            </w:r>
            <w:proofErr w:type="spellEnd"/>
            <w:r w:rsidRPr="00FF36D0">
              <w:rPr>
                <w:rFonts w:eastAsia="Times New Roman" w:cs="Times New Roman"/>
                <w:color w:val="000000"/>
                <w:szCs w:val="24"/>
                <w:lang w:val="de-DE" w:eastAsia="de-DE"/>
              </w:rPr>
              <w:t xml:space="preserve"> </w:t>
            </w:r>
            <w:proofErr w:type="spellStart"/>
            <w:r w:rsidRPr="00FF36D0">
              <w:rPr>
                <w:rFonts w:eastAsia="Times New Roman" w:cs="Times New Roman"/>
                <w:color w:val="000000"/>
                <w:szCs w:val="24"/>
                <w:lang w:val="de-DE" w:eastAsia="de-DE"/>
              </w:rPr>
              <w:t>defect</w:t>
            </w:r>
            <w:proofErr w:type="spellEnd"/>
          </w:p>
        </w:tc>
        <w:tc>
          <w:tcPr>
            <w:tcW w:w="1760" w:type="dxa"/>
            <w:tcBorders>
              <w:top w:val="nil"/>
              <w:left w:val="nil"/>
              <w:bottom w:val="dotted" w:sz="4" w:space="0" w:color="auto"/>
              <w:right w:val="nil"/>
            </w:tcBorders>
            <w:shd w:val="clear" w:color="auto" w:fill="auto"/>
            <w:noWrap/>
            <w:vAlign w:val="center"/>
            <w:hideMark/>
          </w:tcPr>
          <w:p w14:paraId="3E9C5B33"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10 (13%)</w:t>
            </w:r>
          </w:p>
        </w:tc>
        <w:tc>
          <w:tcPr>
            <w:tcW w:w="1760" w:type="dxa"/>
            <w:tcBorders>
              <w:top w:val="nil"/>
              <w:left w:val="nil"/>
              <w:bottom w:val="dotted" w:sz="4" w:space="0" w:color="auto"/>
              <w:right w:val="nil"/>
            </w:tcBorders>
            <w:shd w:val="clear" w:color="auto" w:fill="auto"/>
            <w:noWrap/>
            <w:vAlign w:val="center"/>
            <w:hideMark/>
          </w:tcPr>
          <w:p w14:paraId="0F637D2F"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24 (19%)</w:t>
            </w:r>
          </w:p>
        </w:tc>
        <w:tc>
          <w:tcPr>
            <w:tcW w:w="1200" w:type="dxa"/>
            <w:tcBorders>
              <w:top w:val="nil"/>
              <w:left w:val="nil"/>
              <w:bottom w:val="dotted" w:sz="4" w:space="0" w:color="auto"/>
              <w:right w:val="nil"/>
            </w:tcBorders>
            <w:shd w:val="clear" w:color="auto" w:fill="auto"/>
            <w:noWrap/>
            <w:vAlign w:val="center"/>
            <w:hideMark/>
          </w:tcPr>
          <w:p w14:paraId="76C63CC0"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0.34</w:t>
            </w:r>
          </w:p>
        </w:tc>
      </w:tr>
      <w:tr w:rsidR="00FF36D0" w:rsidRPr="00FF36D0" w14:paraId="4421B818" w14:textId="77777777" w:rsidTr="00FF36D0">
        <w:trPr>
          <w:trHeight w:val="420"/>
        </w:trPr>
        <w:tc>
          <w:tcPr>
            <w:tcW w:w="296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0DA6C2B8" w14:textId="77777777" w:rsidR="00FF36D0" w:rsidRPr="00FF36D0" w:rsidRDefault="00FF36D0" w:rsidP="00FF36D0">
            <w:pPr>
              <w:spacing w:after="0" w:line="240" w:lineRule="auto"/>
              <w:jc w:val="left"/>
              <w:rPr>
                <w:rFonts w:eastAsia="Times New Roman" w:cs="Times New Roman"/>
                <w:color w:val="000000"/>
                <w:szCs w:val="24"/>
                <w:lang w:val="de-DE" w:eastAsia="de-DE"/>
              </w:rPr>
            </w:pPr>
            <w:r w:rsidRPr="00FF36D0">
              <w:rPr>
                <w:rFonts w:eastAsia="Times New Roman" w:cs="Times New Roman"/>
                <w:color w:val="000000"/>
                <w:szCs w:val="24"/>
                <w:lang w:val="de-DE" w:eastAsia="de-DE"/>
              </w:rPr>
              <w:t xml:space="preserve">Plaque </w:t>
            </w:r>
            <w:proofErr w:type="spellStart"/>
            <w:r w:rsidRPr="00FF36D0">
              <w:rPr>
                <w:rFonts w:eastAsia="Times New Roman" w:cs="Times New Roman"/>
                <w:color w:val="000000"/>
                <w:szCs w:val="24"/>
                <w:lang w:val="de-DE" w:eastAsia="de-DE"/>
              </w:rPr>
              <w:t>ulceration</w:t>
            </w:r>
            <w:proofErr w:type="spellEnd"/>
          </w:p>
        </w:tc>
        <w:tc>
          <w:tcPr>
            <w:tcW w:w="1760" w:type="dxa"/>
            <w:tcBorders>
              <w:top w:val="nil"/>
              <w:left w:val="nil"/>
              <w:bottom w:val="dotted" w:sz="4" w:space="0" w:color="auto"/>
              <w:right w:val="nil"/>
            </w:tcBorders>
            <w:shd w:val="clear" w:color="auto" w:fill="auto"/>
            <w:noWrap/>
            <w:vAlign w:val="center"/>
            <w:hideMark/>
          </w:tcPr>
          <w:p w14:paraId="5188B29B"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13 (17%)</w:t>
            </w:r>
          </w:p>
        </w:tc>
        <w:tc>
          <w:tcPr>
            <w:tcW w:w="1760" w:type="dxa"/>
            <w:tcBorders>
              <w:top w:val="nil"/>
              <w:left w:val="nil"/>
              <w:bottom w:val="dotted" w:sz="4" w:space="0" w:color="auto"/>
              <w:right w:val="nil"/>
            </w:tcBorders>
            <w:shd w:val="clear" w:color="auto" w:fill="auto"/>
            <w:noWrap/>
            <w:vAlign w:val="center"/>
            <w:hideMark/>
          </w:tcPr>
          <w:p w14:paraId="0438D322"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30 (24%)</w:t>
            </w:r>
          </w:p>
        </w:tc>
        <w:tc>
          <w:tcPr>
            <w:tcW w:w="1200" w:type="dxa"/>
            <w:tcBorders>
              <w:top w:val="nil"/>
              <w:left w:val="nil"/>
              <w:bottom w:val="dotted" w:sz="4" w:space="0" w:color="auto"/>
              <w:right w:val="nil"/>
            </w:tcBorders>
            <w:shd w:val="clear" w:color="auto" w:fill="auto"/>
            <w:noWrap/>
            <w:vAlign w:val="center"/>
            <w:hideMark/>
          </w:tcPr>
          <w:p w14:paraId="13086545"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0.29</w:t>
            </w:r>
          </w:p>
        </w:tc>
      </w:tr>
      <w:tr w:rsidR="00FF36D0" w:rsidRPr="00FF36D0" w14:paraId="776AA2FD" w14:textId="77777777" w:rsidTr="00FF36D0">
        <w:trPr>
          <w:trHeight w:val="420"/>
        </w:trPr>
        <w:tc>
          <w:tcPr>
            <w:tcW w:w="296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5CA05B1E" w14:textId="77777777" w:rsidR="00FF36D0" w:rsidRPr="00FF36D0" w:rsidRDefault="00FF36D0" w:rsidP="00FF36D0">
            <w:pPr>
              <w:spacing w:after="0" w:line="240" w:lineRule="auto"/>
              <w:jc w:val="left"/>
              <w:rPr>
                <w:rFonts w:eastAsia="Times New Roman" w:cs="Times New Roman"/>
                <w:color w:val="000000"/>
                <w:szCs w:val="24"/>
                <w:lang w:val="de-DE" w:eastAsia="de-DE"/>
              </w:rPr>
            </w:pPr>
            <w:r w:rsidRPr="00FF36D0">
              <w:rPr>
                <w:rFonts w:eastAsia="Times New Roman" w:cs="Times New Roman"/>
                <w:color w:val="000000"/>
                <w:szCs w:val="24"/>
                <w:lang w:val="de-DE" w:eastAsia="de-DE"/>
              </w:rPr>
              <w:t xml:space="preserve">Plaque </w:t>
            </w:r>
            <w:proofErr w:type="spellStart"/>
            <w:r w:rsidRPr="00FF36D0">
              <w:rPr>
                <w:rFonts w:eastAsia="Times New Roman" w:cs="Times New Roman"/>
                <w:color w:val="000000"/>
                <w:szCs w:val="24"/>
                <w:lang w:val="de-DE" w:eastAsia="de-DE"/>
              </w:rPr>
              <w:t>irregularity</w:t>
            </w:r>
            <w:proofErr w:type="spellEnd"/>
          </w:p>
        </w:tc>
        <w:tc>
          <w:tcPr>
            <w:tcW w:w="1760" w:type="dxa"/>
            <w:tcBorders>
              <w:top w:val="nil"/>
              <w:left w:val="nil"/>
              <w:bottom w:val="dotted" w:sz="4" w:space="0" w:color="auto"/>
              <w:right w:val="nil"/>
            </w:tcBorders>
            <w:shd w:val="clear" w:color="auto" w:fill="auto"/>
            <w:noWrap/>
            <w:vAlign w:val="center"/>
            <w:hideMark/>
          </w:tcPr>
          <w:p w14:paraId="0ED4650B"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39 (51%)</w:t>
            </w:r>
          </w:p>
        </w:tc>
        <w:tc>
          <w:tcPr>
            <w:tcW w:w="1760" w:type="dxa"/>
            <w:tcBorders>
              <w:top w:val="nil"/>
              <w:left w:val="nil"/>
              <w:bottom w:val="dotted" w:sz="4" w:space="0" w:color="auto"/>
              <w:right w:val="nil"/>
            </w:tcBorders>
            <w:shd w:val="clear" w:color="auto" w:fill="auto"/>
            <w:noWrap/>
            <w:vAlign w:val="center"/>
            <w:hideMark/>
          </w:tcPr>
          <w:p w14:paraId="053513FE"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68 (54%)</w:t>
            </w:r>
          </w:p>
        </w:tc>
        <w:tc>
          <w:tcPr>
            <w:tcW w:w="1200" w:type="dxa"/>
            <w:tcBorders>
              <w:top w:val="nil"/>
              <w:left w:val="nil"/>
              <w:bottom w:val="dotted" w:sz="4" w:space="0" w:color="auto"/>
              <w:right w:val="nil"/>
            </w:tcBorders>
            <w:shd w:val="clear" w:color="auto" w:fill="auto"/>
            <w:noWrap/>
            <w:vAlign w:val="center"/>
            <w:hideMark/>
          </w:tcPr>
          <w:p w14:paraId="604CA534"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0.66</w:t>
            </w:r>
          </w:p>
        </w:tc>
      </w:tr>
      <w:tr w:rsidR="00FF36D0" w:rsidRPr="00FF36D0" w14:paraId="031879C6" w14:textId="77777777" w:rsidTr="00FF36D0">
        <w:trPr>
          <w:trHeight w:val="420"/>
        </w:trPr>
        <w:tc>
          <w:tcPr>
            <w:tcW w:w="2960" w:type="dxa"/>
            <w:gridSpan w:val="2"/>
            <w:tcBorders>
              <w:top w:val="nil"/>
              <w:left w:val="nil"/>
              <w:bottom w:val="single" w:sz="8" w:space="0" w:color="auto"/>
              <w:right w:val="single" w:sz="4" w:space="0" w:color="000000"/>
            </w:tcBorders>
            <w:shd w:val="clear" w:color="auto" w:fill="auto"/>
            <w:noWrap/>
            <w:vAlign w:val="center"/>
            <w:hideMark/>
          </w:tcPr>
          <w:p w14:paraId="50FBC1B7" w14:textId="77777777" w:rsidR="00FF36D0" w:rsidRPr="00FF36D0" w:rsidRDefault="00FF36D0" w:rsidP="00FF36D0">
            <w:pPr>
              <w:spacing w:after="0" w:line="240" w:lineRule="auto"/>
              <w:jc w:val="left"/>
              <w:rPr>
                <w:rFonts w:eastAsia="Times New Roman" w:cs="Times New Roman"/>
                <w:color w:val="000000"/>
                <w:szCs w:val="24"/>
                <w:lang w:val="de-DE" w:eastAsia="de-DE"/>
              </w:rPr>
            </w:pPr>
            <w:r w:rsidRPr="00FF36D0">
              <w:rPr>
                <w:rFonts w:eastAsia="Times New Roman" w:cs="Times New Roman"/>
                <w:color w:val="000000"/>
                <w:szCs w:val="24"/>
                <w:lang w:val="de-DE" w:eastAsia="de-DE"/>
              </w:rPr>
              <w:t xml:space="preserve">TIMI </w:t>
            </w:r>
            <w:proofErr w:type="spellStart"/>
            <w:r w:rsidRPr="00FF36D0">
              <w:rPr>
                <w:rFonts w:eastAsia="Times New Roman" w:cs="Times New Roman"/>
                <w:color w:val="000000"/>
                <w:szCs w:val="24"/>
                <w:lang w:val="de-DE" w:eastAsia="de-DE"/>
              </w:rPr>
              <w:t>flow</w:t>
            </w:r>
            <w:proofErr w:type="spellEnd"/>
            <w:r w:rsidRPr="00FF36D0">
              <w:rPr>
                <w:rFonts w:eastAsia="Times New Roman" w:cs="Times New Roman"/>
                <w:color w:val="000000"/>
                <w:szCs w:val="24"/>
                <w:lang w:val="de-DE" w:eastAsia="de-DE"/>
              </w:rPr>
              <w:t xml:space="preserve"> &lt; 3</w:t>
            </w:r>
          </w:p>
        </w:tc>
        <w:tc>
          <w:tcPr>
            <w:tcW w:w="1760" w:type="dxa"/>
            <w:tcBorders>
              <w:top w:val="nil"/>
              <w:left w:val="nil"/>
              <w:bottom w:val="single" w:sz="8" w:space="0" w:color="auto"/>
              <w:right w:val="nil"/>
            </w:tcBorders>
            <w:shd w:val="clear" w:color="auto" w:fill="auto"/>
            <w:noWrap/>
            <w:vAlign w:val="center"/>
            <w:hideMark/>
          </w:tcPr>
          <w:p w14:paraId="6543626B"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19 (24%)</w:t>
            </w:r>
          </w:p>
        </w:tc>
        <w:tc>
          <w:tcPr>
            <w:tcW w:w="1760" w:type="dxa"/>
            <w:tcBorders>
              <w:top w:val="nil"/>
              <w:left w:val="nil"/>
              <w:bottom w:val="single" w:sz="8" w:space="0" w:color="auto"/>
              <w:right w:val="nil"/>
            </w:tcBorders>
            <w:shd w:val="clear" w:color="auto" w:fill="auto"/>
            <w:noWrap/>
            <w:vAlign w:val="center"/>
            <w:hideMark/>
          </w:tcPr>
          <w:p w14:paraId="65239403"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33 (26%)</w:t>
            </w:r>
          </w:p>
        </w:tc>
        <w:tc>
          <w:tcPr>
            <w:tcW w:w="1200" w:type="dxa"/>
            <w:tcBorders>
              <w:top w:val="nil"/>
              <w:left w:val="nil"/>
              <w:bottom w:val="single" w:sz="8" w:space="0" w:color="auto"/>
              <w:right w:val="nil"/>
            </w:tcBorders>
            <w:shd w:val="clear" w:color="auto" w:fill="auto"/>
            <w:noWrap/>
            <w:vAlign w:val="center"/>
            <w:hideMark/>
          </w:tcPr>
          <w:p w14:paraId="20F21B92" w14:textId="77777777" w:rsidR="00FF36D0" w:rsidRPr="00FF36D0" w:rsidRDefault="00FF36D0" w:rsidP="00FF36D0">
            <w:pPr>
              <w:spacing w:after="0" w:line="240" w:lineRule="auto"/>
              <w:jc w:val="center"/>
              <w:rPr>
                <w:rFonts w:eastAsia="Times New Roman" w:cs="Times New Roman"/>
                <w:color w:val="000000"/>
                <w:szCs w:val="24"/>
                <w:lang w:val="de-DE" w:eastAsia="de-DE"/>
              </w:rPr>
            </w:pPr>
            <w:r w:rsidRPr="00FF36D0">
              <w:rPr>
                <w:rFonts w:eastAsia="Times New Roman" w:cs="Times New Roman"/>
                <w:color w:val="000000"/>
                <w:szCs w:val="24"/>
                <w:lang w:val="de-DE" w:eastAsia="de-DE"/>
              </w:rPr>
              <w:t>0.87</w:t>
            </w:r>
          </w:p>
        </w:tc>
      </w:tr>
    </w:tbl>
    <w:p w14:paraId="638CF25F" w14:textId="710D9657" w:rsidR="00FF36D0" w:rsidRDefault="00FF36D0">
      <w:pPr>
        <w:spacing w:after="0" w:line="240" w:lineRule="auto"/>
        <w:jc w:val="left"/>
        <w:rPr>
          <w:rFonts w:cs="Arial"/>
          <w:b/>
          <w:szCs w:val="24"/>
          <w:u w:val="single"/>
        </w:rPr>
      </w:pPr>
      <w:r>
        <w:rPr>
          <w:rFonts w:cs="Arial"/>
          <w:b/>
          <w:szCs w:val="24"/>
          <w:u w:val="single"/>
        </w:rPr>
        <w:br w:type="page"/>
      </w:r>
    </w:p>
    <w:p w14:paraId="6481F5B4" w14:textId="4066AE3B" w:rsidR="00C56CBD" w:rsidRDefault="00C56CBD" w:rsidP="00C56CBD">
      <w:proofErr w:type="spellStart"/>
      <w:r w:rsidRPr="00C432E6">
        <w:rPr>
          <w:b/>
        </w:rPr>
        <w:lastRenderedPageBreak/>
        <w:t>eTable</w:t>
      </w:r>
      <w:proofErr w:type="spellEnd"/>
      <w:r w:rsidRPr="00C432E6">
        <w:rPr>
          <w:b/>
        </w:rPr>
        <w:t xml:space="preserve"> 5</w:t>
      </w:r>
      <w:r>
        <w:t xml:space="preserve"> </w:t>
      </w:r>
      <w:r w:rsidR="00B26E08">
        <w:t>Sensitivity analysis showing the i</w:t>
      </w:r>
      <w:r w:rsidR="0070125D" w:rsidRPr="0070125D">
        <w:t xml:space="preserve">ncidence of prognostic endpoints </w:t>
      </w:r>
      <w:r w:rsidR="0070125D">
        <w:t>all-cause death</w:t>
      </w:r>
      <w:r w:rsidR="0070125D" w:rsidRPr="0070125D">
        <w:t xml:space="preserve"> and </w:t>
      </w:r>
      <w:r w:rsidR="00AA2D68">
        <w:t>future non-fatal acute</w:t>
      </w:r>
      <w:r w:rsidR="0070125D" w:rsidRPr="0070125D">
        <w:t xml:space="preserve"> myocardial infarction (AMI) </w:t>
      </w:r>
      <w:r w:rsidR="0070125D">
        <w:t xml:space="preserve">in unstable angina, </w:t>
      </w:r>
      <w:r w:rsidR="0070125D" w:rsidRPr="0070125D">
        <w:t xml:space="preserve">stratified </w:t>
      </w:r>
      <w:r w:rsidR="00B26E08">
        <w:t xml:space="preserve">according to </w:t>
      </w:r>
      <w:r w:rsidR="00B26E08" w:rsidRPr="00B26E08">
        <w:t xml:space="preserve">those without vs with any </w:t>
      </w:r>
      <w:proofErr w:type="spellStart"/>
      <w:r w:rsidR="00B26E08" w:rsidRPr="00B26E08">
        <w:t>hs-cTn</w:t>
      </w:r>
      <w:proofErr w:type="spellEnd"/>
      <w:r w:rsidR="00B26E08" w:rsidRPr="00B26E08">
        <w:t xml:space="preserve"> measurement &gt;99th percentile</w:t>
      </w:r>
      <w:r w:rsidR="0070125D" w:rsidRPr="0070125D">
        <w:t>, calculated using Kaplan Meier estimates for 1-year</w:t>
      </w:r>
      <w:r w:rsidR="0070125D" w:rsidRPr="0070125D" w:rsidDel="0070125D">
        <w:t xml:space="preserve"> </w:t>
      </w:r>
    </w:p>
    <w:tbl>
      <w:tblPr>
        <w:tblW w:w="7016" w:type="dxa"/>
        <w:tblCellMar>
          <w:left w:w="70" w:type="dxa"/>
          <w:right w:w="70" w:type="dxa"/>
        </w:tblCellMar>
        <w:tblLook w:val="04A0" w:firstRow="1" w:lastRow="0" w:firstColumn="1" w:lastColumn="0" w:noHBand="0" w:noVBand="1"/>
      </w:tblPr>
      <w:tblGrid>
        <w:gridCol w:w="2920"/>
        <w:gridCol w:w="2112"/>
        <w:gridCol w:w="1984"/>
      </w:tblGrid>
      <w:tr w:rsidR="00C56CBD" w:rsidRPr="00622955" w14:paraId="0E25FC0A" w14:textId="77777777" w:rsidTr="00924D72">
        <w:trPr>
          <w:trHeight w:val="855"/>
        </w:trPr>
        <w:tc>
          <w:tcPr>
            <w:tcW w:w="2920" w:type="dxa"/>
            <w:tcBorders>
              <w:top w:val="nil"/>
              <w:left w:val="nil"/>
              <w:bottom w:val="single" w:sz="8" w:space="0" w:color="auto"/>
              <w:right w:val="single" w:sz="8" w:space="0" w:color="auto"/>
            </w:tcBorders>
            <w:shd w:val="clear" w:color="auto" w:fill="auto"/>
            <w:noWrap/>
            <w:vAlign w:val="center"/>
            <w:hideMark/>
          </w:tcPr>
          <w:p w14:paraId="68BBE144" w14:textId="77777777" w:rsidR="00C56CBD" w:rsidRPr="00622955" w:rsidRDefault="00C56CBD" w:rsidP="00106FBA">
            <w:pPr>
              <w:spacing w:after="0" w:line="240" w:lineRule="auto"/>
              <w:jc w:val="center"/>
              <w:rPr>
                <w:rFonts w:eastAsia="Times New Roman" w:cs="Times New Roman"/>
                <w:color w:val="000000"/>
                <w:sz w:val="22"/>
                <w:lang w:val="en-US" w:eastAsia="de-CH"/>
              </w:rPr>
            </w:pPr>
            <w:r w:rsidRPr="00622955">
              <w:rPr>
                <w:rFonts w:eastAsia="Times New Roman" w:cs="Times New Roman"/>
                <w:color w:val="000000"/>
                <w:sz w:val="22"/>
                <w:lang w:val="en-US" w:eastAsia="de-CH"/>
              </w:rPr>
              <w:t> </w:t>
            </w:r>
          </w:p>
        </w:tc>
        <w:tc>
          <w:tcPr>
            <w:tcW w:w="2112" w:type="dxa"/>
            <w:tcBorders>
              <w:top w:val="nil"/>
              <w:left w:val="nil"/>
              <w:bottom w:val="single" w:sz="8" w:space="0" w:color="auto"/>
              <w:right w:val="nil"/>
            </w:tcBorders>
            <w:shd w:val="clear" w:color="auto" w:fill="auto"/>
            <w:vAlign w:val="center"/>
            <w:hideMark/>
          </w:tcPr>
          <w:p w14:paraId="0ABDD69B" w14:textId="77777777" w:rsidR="00C56CBD" w:rsidRPr="00622955" w:rsidRDefault="00C56CBD" w:rsidP="00106FBA">
            <w:pPr>
              <w:spacing w:after="0" w:line="240" w:lineRule="auto"/>
              <w:jc w:val="center"/>
              <w:rPr>
                <w:rFonts w:eastAsia="Times New Roman" w:cs="Times New Roman"/>
                <w:b/>
                <w:color w:val="000000"/>
                <w:sz w:val="22"/>
                <w:lang w:val="de-CH" w:eastAsia="de-CH"/>
              </w:rPr>
            </w:pPr>
            <w:proofErr w:type="spellStart"/>
            <w:r w:rsidRPr="00622955">
              <w:rPr>
                <w:rFonts w:eastAsia="Times New Roman" w:cs="Times New Roman"/>
                <w:b/>
                <w:color w:val="000000"/>
                <w:sz w:val="22"/>
                <w:lang w:val="de-CH" w:eastAsia="de-CH"/>
              </w:rPr>
              <w:t>Unstable</w:t>
            </w:r>
            <w:proofErr w:type="spellEnd"/>
            <w:r w:rsidRPr="00622955">
              <w:rPr>
                <w:rFonts w:eastAsia="Times New Roman" w:cs="Times New Roman"/>
                <w:b/>
                <w:color w:val="000000"/>
                <w:sz w:val="22"/>
                <w:lang w:val="de-CH" w:eastAsia="de-CH"/>
              </w:rPr>
              <w:t xml:space="preserve"> </w:t>
            </w:r>
            <w:proofErr w:type="spellStart"/>
            <w:r w:rsidRPr="00622955">
              <w:rPr>
                <w:rFonts w:eastAsia="Times New Roman" w:cs="Times New Roman"/>
                <w:b/>
                <w:color w:val="000000"/>
                <w:sz w:val="22"/>
                <w:lang w:val="de-CH" w:eastAsia="de-CH"/>
              </w:rPr>
              <w:t>angina</w:t>
            </w:r>
            <w:proofErr w:type="spellEnd"/>
            <w:r w:rsidRPr="00622955">
              <w:rPr>
                <w:rFonts w:eastAsia="Times New Roman" w:cs="Times New Roman"/>
                <w:b/>
                <w:color w:val="000000"/>
                <w:sz w:val="22"/>
                <w:lang w:val="de-CH" w:eastAsia="de-CH"/>
              </w:rPr>
              <w:br/>
              <w:t xml:space="preserve">&lt;99th </w:t>
            </w:r>
            <w:proofErr w:type="spellStart"/>
            <w:r w:rsidRPr="00622955">
              <w:rPr>
                <w:rFonts w:eastAsia="Times New Roman" w:cs="Times New Roman"/>
                <w:b/>
                <w:color w:val="000000"/>
                <w:sz w:val="22"/>
                <w:lang w:val="de-CH" w:eastAsia="de-CH"/>
              </w:rPr>
              <w:t>percentile</w:t>
            </w:r>
            <w:proofErr w:type="spellEnd"/>
          </w:p>
        </w:tc>
        <w:tc>
          <w:tcPr>
            <w:tcW w:w="1984" w:type="dxa"/>
            <w:tcBorders>
              <w:top w:val="nil"/>
              <w:left w:val="nil"/>
              <w:bottom w:val="single" w:sz="8" w:space="0" w:color="auto"/>
              <w:right w:val="nil"/>
            </w:tcBorders>
            <w:shd w:val="clear" w:color="auto" w:fill="auto"/>
            <w:vAlign w:val="center"/>
            <w:hideMark/>
          </w:tcPr>
          <w:p w14:paraId="2FDEB72D" w14:textId="77777777" w:rsidR="00C56CBD" w:rsidRPr="00622955" w:rsidRDefault="00C56CBD" w:rsidP="00106FBA">
            <w:pPr>
              <w:spacing w:after="0" w:line="240" w:lineRule="auto"/>
              <w:jc w:val="center"/>
              <w:rPr>
                <w:rFonts w:eastAsia="Times New Roman" w:cs="Times New Roman"/>
                <w:b/>
                <w:color w:val="000000"/>
                <w:sz w:val="22"/>
                <w:lang w:val="de-CH" w:eastAsia="de-CH"/>
              </w:rPr>
            </w:pPr>
            <w:proofErr w:type="spellStart"/>
            <w:r w:rsidRPr="00622955">
              <w:rPr>
                <w:rFonts w:eastAsia="Times New Roman" w:cs="Times New Roman"/>
                <w:b/>
                <w:color w:val="000000"/>
                <w:sz w:val="22"/>
                <w:lang w:val="de-CH" w:eastAsia="de-CH"/>
              </w:rPr>
              <w:t>Unstable</w:t>
            </w:r>
            <w:proofErr w:type="spellEnd"/>
            <w:r w:rsidRPr="00622955">
              <w:rPr>
                <w:rFonts w:eastAsia="Times New Roman" w:cs="Times New Roman"/>
                <w:b/>
                <w:color w:val="000000"/>
                <w:sz w:val="22"/>
                <w:lang w:val="de-CH" w:eastAsia="de-CH"/>
              </w:rPr>
              <w:t xml:space="preserve"> </w:t>
            </w:r>
            <w:proofErr w:type="spellStart"/>
            <w:r w:rsidRPr="00622955">
              <w:rPr>
                <w:rFonts w:eastAsia="Times New Roman" w:cs="Times New Roman"/>
                <w:b/>
                <w:color w:val="000000"/>
                <w:sz w:val="22"/>
                <w:lang w:val="de-CH" w:eastAsia="de-CH"/>
              </w:rPr>
              <w:t>angina</w:t>
            </w:r>
            <w:proofErr w:type="spellEnd"/>
            <w:r w:rsidRPr="00622955">
              <w:rPr>
                <w:rFonts w:eastAsia="Times New Roman" w:cs="Times New Roman"/>
                <w:b/>
                <w:color w:val="000000"/>
                <w:sz w:val="22"/>
                <w:lang w:val="de-CH" w:eastAsia="de-CH"/>
              </w:rPr>
              <w:br/>
            </w:r>
            <w:r w:rsidRPr="00622955">
              <w:rPr>
                <w:rFonts w:ascii="Calibri" w:eastAsia="Times New Roman" w:hAnsi="Calibri" w:cs="Times New Roman"/>
                <w:b/>
                <w:color w:val="000000"/>
                <w:sz w:val="22"/>
                <w:lang w:val="de-CH" w:eastAsia="de-CH"/>
              </w:rPr>
              <w:t>≥</w:t>
            </w:r>
            <w:r w:rsidRPr="00622955">
              <w:rPr>
                <w:rFonts w:eastAsia="Times New Roman" w:cs="Times New Roman"/>
                <w:b/>
                <w:color w:val="000000"/>
                <w:sz w:val="22"/>
                <w:lang w:val="de-CH" w:eastAsia="de-CH"/>
              </w:rPr>
              <w:t xml:space="preserve">99th </w:t>
            </w:r>
            <w:proofErr w:type="spellStart"/>
            <w:r w:rsidRPr="00622955">
              <w:rPr>
                <w:rFonts w:eastAsia="Times New Roman" w:cs="Times New Roman"/>
                <w:b/>
                <w:color w:val="000000"/>
                <w:sz w:val="22"/>
                <w:lang w:val="de-CH" w:eastAsia="de-CH"/>
              </w:rPr>
              <w:t>percentile</w:t>
            </w:r>
            <w:proofErr w:type="spellEnd"/>
          </w:p>
        </w:tc>
      </w:tr>
      <w:tr w:rsidR="00C56CBD" w:rsidRPr="00622955" w14:paraId="7CFE53DD" w14:textId="77777777" w:rsidTr="00924D72">
        <w:trPr>
          <w:trHeight w:val="510"/>
        </w:trPr>
        <w:tc>
          <w:tcPr>
            <w:tcW w:w="2920" w:type="dxa"/>
            <w:tcBorders>
              <w:top w:val="nil"/>
              <w:left w:val="nil"/>
              <w:bottom w:val="dotted" w:sz="4" w:space="0" w:color="auto"/>
              <w:right w:val="single" w:sz="8" w:space="0" w:color="auto"/>
            </w:tcBorders>
            <w:shd w:val="clear" w:color="auto" w:fill="auto"/>
            <w:noWrap/>
            <w:vAlign w:val="center"/>
            <w:hideMark/>
          </w:tcPr>
          <w:p w14:paraId="6242B212" w14:textId="77777777" w:rsidR="00C56CBD" w:rsidRPr="00622955" w:rsidRDefault="00C56CBD" w:rsidP="00106FBA">
            <w:pPr>
              <w:spacing w:after="0" w:line="240" w:lineRule="auto"/>
              <w:jc w:val="left"/>
              <w:rPr>
                <w:rFonts w:eastAsia="Times New Roman" w:cs="Times New Roman"/>
                <w:color w:val="000000"/>
                <w:sz w:val="22"/>
                <w:lang w:val="en-US" w:eastAsia="de-CH"/>
              </w:rPr>
            </w:pPr>
            <w:r w:rsidRPr="00622955">
              <w:rPr>
                <w:rFonts w:eastAsia="Times New Roman" w:cs="Times New Roman"/>
                <w:color w:val="000000"/>
                <w:sz w:val="22"/>
                <w:lang w:val="en-US" w:eastAsia="de-CH"/>
              </w:rPr>
              <w:t>All-cause death in 30 days</w:t>
            </w:r>
          </w:p>
        </w:tc>
        <w:tc>
          <w:tcPr>
            <w:tcW w:w="2112" w:type="dxa"/>
            <w:tcBorders>
              <w:top w:val="nil"/>
              <w:left w:val="nil"/>
              <w:bottom w:val="dotted" w:sz="4" w:space="0" w:color="auto"/>
              <w:right w:val="dotted" w:sz="4" w:space="0" w:color="auto"/>
            </w:tcBorders>
            <w:shd w:val="clear" w:color="auto" w:fill="auto"/>
            <w:noWrap/>
            <w:vAlign w:val="center"/>
            <w:hideMark/>
          </w:tcPr>
          <w:p w14:paraId="33B63D59" w14:textId="20FB83B3" w:rsidR="00C56CBD" w:rsidRPr="00622955" w:rsidRDefault="00C56CBD" w:rsidP="00106FBA">
            <w:pPr>
              <w:spacing w:after="0" w:line="240" w:lineRule="auto"/>
              <w:jc w:val="center"/>
              <w:rPr>
                <w:rFonts w:eastAsia="Times New Roman" w:cs="Times New Roman"/>
                <w:color w:val="000000"/>
                <w:sz w:val="22"/>
                <w:lang w:val="de-CH" w:eastAsia="de-CH"/>
              </w:rPr>
            </w:pPr>
            <w:r w:rsidRPr="00622955">
              <w:rPr>
                <w:rFonts w:eastAsia="Times New Roman" w:cs="Times New Roman"/>
                <w:color w:val="000000"/>
                <w:sz w:val="22"/>
                <w:lang w:val="de-CH" w:eastAsia="de-CH"/>
              </w:rPr>
              <w:t>1 (0.3%</w:t>
            </w:r>
            <w:r w:rsidR="00622955" w:rsidRPr="00924D72">
              <w:rPr>
                <w:rFonts w:eastAsia="Times New Roman" w:cs="Times New Roman"/>
                <w:color w:val="000000"/>
                <w:sz w:val="22"/>
                <w:lang w:val="de-CH" w:eastAsia="de-CH"/>
              </w:rPr>
              <w:t>, 0.0-3.8</w:t>
            </w:r>
            <w:r w:rsidRPr="00622955">
              <w:rPr>
                <w:rFonts w:eastAsia="Times New Roman" w:cs="Times New Roman"/>
                <w:color w:val="000000"/>
                <w:sz w:val="22"/>
                <w:lang w:val="de-CH" w:eastAsia="de-CH"/>
              </w:rPr>
              <w:t>)</w:t>
            </w:r>
          </w:p>
        </w:tc>
        <w:tc>
          <w:tcPr>
            <w:tcW w:w="1984" w:type="dxa"/>
            <w:tcBorders>
              <w:top w:val="nil"/>
              <w:left w:val="nil"/>
              <w:bottom w:val="dotted" w:sz="4" w:space="0" w:color="auto"/>
              <w:right w:val="dotted" w:sz="4" w:space="0" w:color="auto"/>
            </w:tcBorders>
            <w:shd w:val="clear" w:color="auto" w:fill="auto"/>
            <w:noWrap/>
            <w:vAlign w:val="center"/>
            <w:hideMark/>
          </w:tcPr>
          <w:p w14:paraId="715C4CE1" w14:textId="2AC99BAD" w:rsidR="00C56CBD" w:rsidRPr="00622955" w:rsidRDefault="00C56CBD" w:rsidP="00106FBA">
            <w:pPr>
              <w:spacing w:after="0" w:line="240" w:lineRule="auto"/>
              <w:jc w:val="center"/>
              <w:rPr>
                <w:rFonts w:eastAsia="Times New Roman" w:cs="Times New Roman"/>
                <w:color w:val="000000"/>
                <w:sz w:val="22"/>
                <w:lang w:val="de-CH" w:eastAsia="de-CH"/>
              </w:rPr>
            </w:pPr>
            <w:r w:rsidRPr="00622955">
              <w:rPr>
                <w:rFonts w:eastAsia="Times New Roman" w:cs="Times New Roman"/>
                <w:color w:val="000000"/>
                <w:sz w:val="22"/>
                <w:lang w:val="de-CH" w:eastAsia="de-CH"/>
              </w:rPr>
              <w:t>3 (1.5%</w:t>
            </w:r>
            <w:r w:rsidR="00622955" w:rsidRPr="00924D72">
              <w:rPr>
                <w:rFonts w:eastAsia="Times New Roman" w:cs="Times New Roman"/>
                <w:color w:val="000000"/>
                <w:sz w:val="22"/>
                <w:lang w:val="de-CH" w:eastAsia="de-CH"/>
              </w:rPr>
              <w:t>, 0-3.2</w:t>
            </w:r>
            <w:r w:rsidRPr="00622955">
              <w:rPr>
                <w:rFonts w:eastAsia="Times New Roman" w:cs="Times New Roman"/>
                <w:color w:val="000000"/>
                <w:sz w:val="22"/>
                <w:lang w:val="de-CH" w:eastAsia="de-CH"/>
              </w:rPr>
              <w:t>)</w:t>
            </w:r>
          </w:p>
        </w:tc>
      </w:tr>
      <w:tr w:rsidR="00C56CBD" w:rsidRPr="00622955" w14:paraId="7C9B0060" w14:textId="77777777" w:rsidTr="00924D72">
        <w:trPr>
          <w:trHeight w:val="390"/>
        </w:trPr>
        <w:tc>
          <w:tcPr>
            <w:tcW w:w="2920" w:type="dxa"/>
            <w:tcBorders>
              <w:top w:val="nil"/>
              <w:left w:val="nil"/>
              <w:bottom w:val="dotted" w:sz="4" w:space="0" w:color="auto"/>
              <w:right w:val="single" w:sz="8" w:space="0" w:color="auto"/>
            </w:tcBorders>
            <w:shd w:val="clear" w:color="auto" w:fill="auto"/>
            <w:noWrap/>
            <w:vAlign w:val="center"/>
            <w:hideMark/>
          </w:tcPr>
          <w:p w14:paraId="43E43680" w14:textId="77777777" w:rsidR="00C56CBD" w:rsidRPr="00622955" w:rsidRDefault="00C56CBD" w:rsidP="00106FBA">
            <w:pPr>
              <w:spacing w:after="0" w:line="240" w:lineRule="auto"/>
              <w:jc w:val="left"/>
              <w:rPr>
                <w:rFonts w:eastAsia="Times New Roman" w:cs="Times New Roman"/>
                <w:color w:val="000000"/>
                <w:sz w:val="22"/>
                <w:lang w:val="en-US" w:eastAsia="de-CH"/>
              </w:rPr>
            </w:pPr>
            <w:r w:rsidRPr="00622955">
              <w:rPr>
                <w:rFonts w:eastAsia="Times New Roman" w:cs="Times New Roman"/>
                <w:color w:val="000000"/>
                <w:sz w:val="22"/>
                <w:lang w:val="en-US" w:eastAsia="de-CH"/>
              </w:rPr>
              <w:t>All-cause death in 1 year</w:t>
            </w:r>
          </w:p>
        </w:tc>
        <w:tc>
          <w:tcPr>
            <w:tcW w:w="2112" w:type="dxa"/>
            <w:tcBorders>
              <w:top w:val="nil"/>
              <w:left w:val="nil"/>
              <w:bottom w:val="dotted" w:sz="4" w:space="0" w:color="auto"/>
              <w:right w:val="dotted" w:sz="4" w:space="0" w:color="auto"/>
            </w:tcBorders>
            <w:shd w:val="clear" w:color="auto" w:fill="auto"/>
            <w:noWrap/>
            <w:vAlign w:val="center"/>
            <w:hideMark/>
          </w:tcPr>
          <w:p w14:paraId="250BB806" w14:textId="3D8CE043" w:rsidR="00C56CBD" w:rsidRPr="00622955" w:rsidRDefault="00C56CBD" w:rsidP="00106FBA">
            <w:pPr>
              <w:spacing w:after="0" w:line="240" w:lineRule="auto"/>
              <w:jc w:val="center"/>
              <w:rPr>
                <w:rFonts w:eastAsia="Times New Roman" w:cs="Times New Roman"/>
                <w:color w:val="000000"/>
                <w:sz w:val="22"/>
                <w:lang w:val="de-CH" w:eastAsia="de-CH"/>
              </w:rPr>
            </w:pPr>
            <w:r w:rsidRPr="00622955">
              <w:rPr>
                <w:rFonts w:eastAsia="Times New Roman" w:cs="Times New Roman"/>
                <w:color w:val="000000"/>
                <w:sz w:val="22"/>
                <w:lang w:val="de-CH" w:eastAsia="de-CH"/>
              </w:rPr>
              <w:t>9 (2.</w:t>
            </w:r>
            <w:r w:rsidR="00B26E08" w:rsidRPr="00622955">
              <w:rPr>
                <w:rFonts w:eastAsia="Times New Roman" w:cs="Times New Roman"/>
                <w:color w:val="000000"/>
                <w:sz w:val="22"/>
                <w:lang w:val="de-CH" w:eastAsia="de-CH"/>
              </w:rPr>
              <w:t>6</w:t>
            </w:r>
            <w:r w:rsidRPr="00622955">
              <w:rPr>
                <w:rFonts w:eastAsia="Times New Roman" w:cs="Times New Roman"/>
                <w:color w:val="000000"/>
                <w:sz w:val="22"/>
                <w:lang w:val="de-CH" w:eastAsia="de-CH"/>
              </w:rPr>
              <w:t>%</w:t>
            </w:r>
            <w:r w:rsidR="00622955" w:rsidRPr="00924D72">
              <w:rPr>
                <w:rFonts w:eastAsia="Times New Roman" w:cs="Times New Roman"/>
                <w:color w:val="000000"/>
                <w:sz w:val="22"/>
                <w:lang w:val="de-CH" w:eastAsia="de-CH"/>
              </w:rPr>
              <w:t>, 0.9-4.3</w:t>
            </w:r>
            <w:r w:rsidRPr="00622955">
              <w:rPr>
                <w:rFonts w:eastAsia="Times New Roman" w:cs="Times New Roman"/>
                <w:color w:val="000000"/>
                <w:sz w:val="22"/>
                <w:lang w:val="de-CH" w:eastAsia="de-CH"/>
              </w:rPr>
              <w:t>)</w:t>
            </w:r>
          </w:p>
        </w:tc>
        <w:tc>
          <w:tcPr>
            <w:tcW w:w="1984" w:type="dxa"/>
            <w:tcBorders>
              <w:top w:val="nil"/>
              <w:left w:val="nil"/>
              <w:bottom w:val="dotted" w:sz="4" w:space="0" w:color="auto"/>
              <w:right w:val="dotted" w:sz="4" w:space="0" w:color="auto"/>
            </w:tcBorders>
            <w:shd w:val="clear" w:color="auto" w:fill="auto"/>
            <w:noWrap/>
            <w:vAlign w:val="center"/>
            <w:hideMark/>
          </w:tcPr>
          <w:p w14:paraId="4D9F8AC2" w14:textId="697955B6" w:rsidR="00C56CBD" w:rsidRPr="00622955" w:rsidRDefault="00C56CBD" w:rsidP="00106FBA">
            <w:pPr>
              <w:spacing w:after="0" w:line="240" w:lineRule="auto"/>
              <w:jc w:val="center"/>
              <w:rPr>
                <w:rFonts w:eastAsia="Times New Roman" w:cs="Times New Roman"/>
                <w:color w:val="000000"/>
                <w:sz w:val="22"/>
                <w:lang w:val="de-CH" w:eastAsia="de-CH"/>
              </w:rPr>
            </w:pPr>
            <w:r w:rsidRPr="00622955">
              <w:rPr>
                <w:rFonts w:eastAsia="Times New Roman" w:cs="Times New Roman"/>
                <w:color w:val="000000"/>
                <w:sz w:val="22"/>
                <w:lang w:val="de-CH" w:eastAsia="de-CH"/>
              </w:rPr>
              <w:t>18 (</w:t>
            </w:r>
            <w:r w:rsidR="00B26E08" w:rsidRPr="00622955">
              <w:rPr>
                <w:rFonts w:eastAsia="Times New Roman" w:cs="Times New Roman"/>
                <w:color w:val="000000"/>
                <w:sz w:val="22"/>
                <w:lang w:val="de-CH" w:eastAsia="de-CH"/>
              </w:rPr>
              <w:t>9.5</w:t>
            </w:r>
            <w:r w:rsidRPr="00622955">
              <w:rPr>
                <w:rFonts w:eastAsia="Times New Roman" w:cs="Times New Roman"/>
                <w:color w:val="000000"/>
                <w:sz w:val="22"/>
                <w:lang w:val="de-CH" w:eastAsia="de-CH"/>
              </w:rPr>
              <w:t>%</w:t>
            </w:r>
            <w:r w:rsidR="00622955" w:rsidRPr="00924D72">
              <w:rPr>
                <w:rFonts w:eastAsia="Times New Roman" w:cs="Times New Roman"/>
                <w:color w:val="000000"/>
                <w:sz w:val="22"/>
                <w:lang w:val="de-CH" w:eastAsia="de-CH"/>
              </w:rPr>
              <w:t>, 5.2-13.5</w:t>
            </w:r>
            <w:r w:rsidRPr="00622955">
              <w:rPr>
                <w:rFonts w:eastAsia="Times New Roman" w:cs="Times New Roman"/>
                <w:color w:val="000000"/>
                <w:sz w:val="22"/>
                <w:lang w:val="de-CH" w:eastAsia="de-CH"/>
              </w:rPr>
              <w:t>)</w:t>
            </w:r>
          </w:p>
        </w:tc>
      </w:tr>
      <w:tr w:rsidR="00C56CBD" w:rsidRPr="00622955" w14:paraId="77711B31" w14:textId="77777777" w:rsidTr="00924D72">
        <w:trPr>
          <w:trHeight w:val="390"/>
        </w:trPr>
        <w:tc>
          <w:tcPr>
            <w:tcW w:w="2920" w:type="dxa"/>
            <w:tcBorders>
              <w:top w:val="nil"/>
              <w:left w:val="nil"/>
              <w:bottom w:val="dotted" w:sz="4" w:space="0" w:color="auto"/>
              <w:right w:val="single" w:sz="8" w:space="0" w:color="auto"/>
            </w:tcBorders>
            <w:shd w:val="clear" w:color="auto" w:fill="auto"/>
            <w:noWrap/>
            <w:vAlign w:val="center"/>
            <w:hideMark/>
          </w:tcPr>
          <w:p w14:paraId="616A6327" w14:textId="77777777" w:rsidR="00C56CBD" w:rsidRPr="00622955" w:rsidRDefault="00C56CBD" w:rsidP="00106FBA">
            <w:pPr>
              <w:spacing w:after="0" w:line="240" w:lineRule="auto"/>
              <w:jc w:val="left"/>
              <w:rPr>
                <w:rFonts w:eastAsia="Times New Roman" w:cs="Times New Roman"/>
                <w:color w:val="000000"/>
                <w:sz w:val="22"/>
                <w:lang w:val="de-CH" w:eastAsia="de-CH"/>
              </w:rPr>
            </w:pPr>
            <w:r w:rsidRPr="00622955">
              <w:rPr>
                <w:rFonts w:eastAsia="Times New Roman" w:cs="Times New Roman"/>
                <w:color w:val="000000"/>
                <w:sz w:val="22"/>
                <w:lang w:val="de-CH" w:eastAsia="de-CH"/>
              </w:rPr>
              <w:t xml:space="preserve">Future AMI in 30 </w:t>
            </w:r>
            <w:proofErr w:type="spellStart"/>
            <w:r w:rsidRPr="00622955">
              <w:rPr>
                <w:rFonts w:eastAsia="Times New Roman" w:cs="Times New Roman"/>
                <w:color w:val="000000"/>
                <w:sz w:val="22"/>
                <w:lang w:val="de-CH" w:eastAsia="de-CH"/>
              </w:rPr>
              <w:t>days</w:t>
            </w:r>
            <w:proofErr w:type="spellEnd"/>
          </w:p>
        </w:tc>
        <w:tc>
          <w:tcPr>
            <w:tcW w:w="2112" w:type="dxa"/>
            <w:tcBorders>
              <w:top w:val="nil"/>
              <w:left w:val="nil"/>
              <w:bottom w:val="dotted" w:sz="4" w:space="0" w:color="auto"/>
              <w:right w:val="dotted" w:sz="4" w:space="0" w:color="auto"/>
            </w:tcBorders>
            <w:shd w:val="clear" w:color="auto" w:fill="auto"/>
            <w:noWrap/>
            <w:vAlign w:val="center"/>
            <w:hideMark/>
          </w:tcPr>
          <w:p w14:paraId="496AA7CF" w14:textId="3C89C5A2" w:rsidR="00C56CBD" w:rsidRPr="00622955" w:rsidRDefault="00C56CBD" w:rsidP="00106FBA">
            <w:pPr>
              <w:spacing w:after="0" w:line="240" w:lineRule="auto"/>
              <w:jc w:val="center"/>
              <w:rPr>
                <w:rFonts w:eastAsia="Times New Roman" w:cs="Times New Roman"/>
                <w:color w:val="000000"/>
                <w:sz w:val="22"/>
                <w:lang w:val="de-CH" w:eastAsia="de-CH"/>
              </w:rPr>
            </w:pPr>
            <w:r w:rsidRPr="00622955">
              <w:rPr>
                <w:rFonts w:eastAsia="Times New Roman" w:cs="Times New Roman"/>
                <w:color w:val="000000"/>
                <w:sz w:val="22"/>
                <w:lang w:val="de-CH" w:eastAsia="de-CH"/>
              </w:rPr>
              <w:t>8 (2.3%</w:t>
            </w:r>
            <w:r w:rsidR="00622955" w:rsidRPr="00924D72">
              <w:rPr>
                <w:rFonts w:eastAsia="Times New Roman" w:cs="Times New Roman"/>
                <w:color w:val="000000"/>
                <w:sz w:val="22"/>
                <w:lang w:val="de-CH" w:eastAsia="de-CH"/>
              </w:rPr>
              <w:t>, 0.7-3.8</w:t>
            </w:r>
            <w:r w:rsidRPr="00622955">
              <w:rPr>
                <w:rFonts w:eastAsia="Times New Roman" w:cs="Times New Roman"/>
                <w:color w:val="000000"/>
                <w:sz w:val="22"/>
                <w:lang w:val="de-CH" w:eastAsia="de-CH"/>
              </w:rPr>
              <w:t>)</w:t>
            </w:r>
          </w:p>
        </w:tc>
        <w:tc>
          <w:tcPr>
            <w:tcW w:w="1984" w:type="dxa"/>
            <w:tcBorders>
              <w:top w:val="nil"/>
              <w:left w:val="nil"/>
              <w:bottom w:val="dotted" w:sz="4" w:space="0" w:color="auto"/>
              <w:right w:val="dotted" w:sz="4" w:space="0" w:color="auto"/>
            </w:tcBorders>
            <w:shd w:val="clear" w:color="auto" w:fill="auto"/>
            <w:noWrap/>
            <w:vAlign w:val="center"/>
            <w:hideMark/>
          </w:tcPr>
          <w:p w14:paraId="1BB48578" w14:textId="3320331F" w:rsidR="00C56CBD" w:rsidRPr="00622955" w:rsidRDefault="00C56CBD" w:rsidP="00106FBA">
            <w:pPr>
              <w:spacing w:after="0" w:line="240" w:lineRule="auto"/>
              <w:jc w:val="center"/>
              <w:rPr>
                <w:rFonts w:eastAsia="Times New Roman" w:cs="Times New Roman"/>
                <w:color w:val="000000"/>
                <w:sz w:val="22"/>
                <w:lang w:val="de-CH" w:eastAsia="de-CH"/>
              </w:rPr>
            </w:pPr>
            <w:r w:rsidRPr="00622955">
              <w:rPr>
                <w:rFonts w:eastAsia="Times New Roman" w:cs="Times New Roman"/>
                <w:color w:val="000000"/>
                <w:sz w:val="22"/>
                <w:lang w:val="de-CH" w:eastAsia="de-CH"/>
              </w:rPr>
              <w:t>13 (6.5%</w:t>
            </w:r>
            <w:r w:rsidR="00F20935" w:rsidRPr="00924D72">
              <w:rPr>
                <w:rFonts w:eastAsia="Times New Roman" w:cs="Times New Roman"/>
                <w:color w:val="000000"/>
                <w:sz w:val="22"/>
                <w:lang w:val="de-CH" w:eastAsia="de-CH"/>
              </w:rPr>
              <w:t>, 3.0-9.1</w:t>
            </w:r>
            <w:r w:rsidRPr="00622955">
              <w:rPr>
                <w:rFonts w:eastAsia="Times New Roman" w:cs="Times New Roman"/>
                <w:color w:val="000000"/>
                <w:sz w:val="22"/>
                <w:lang w:val="de-CH" w:eastAsia="de-CH"/>
              </w:rPr>
              <w:t>)</w:t>
            </w:r>
          </w:p>
        </w:tc>
      </w:tr>
      <w:tr w:rsidR="00C56CBD" w:rsidRPr="00622955" w14:paraId="354D26F8" w14:textId="77777777" w:rsidTr="00924D72">
        <w:trPr>
          <w:trHeight w:val="390"/>
        </w:trPr>
        <w:tc>
          <w:tcPr>
            <w:tcW w:w="2920" w:type="dxa"/>
            <w:tcBorders>
              <w:top w:val="nil"/>
              <w:left w:val="nil"/>
              <w:bottom w:val="single" w:sz="8" w:space="0" w:color="auto"/>
              <w:right w:val="single" w:sz="8" w:space="0" w:color="auto"/>
            </w:tcBorders>
            <w:shd w:val="clear" w:color="auto" w:fill="auto"/>
            <w:noWrap/>
            <w:vAlign w:val="center"/>
            <w:hideMark/>
          </w:tcPr>
          <w:p w14:paraId="492D1565" w14:textId="77777777" w:rsidR="00C56CBD" w:rsidRPr="00622955" w:rsidRDefault="00C56CBD" w:rsidP="00106FBA">
            <w:pPr>
              <w:spacing w:after="0" w:line="240" w:lineRule="auto"/>
              <w:jc w:val="left"/>
              <w:rPr>
                <w:rFonts w:eastAsia="Times New Roman" w:cs="Times New Roman"/>
                <w:color w:val="000000"/>
                <w:sz w:val="22"/>
                <w:lang w:val="de-CH" w:eastAsia="de-CH"/>
              </w:rPr>
            </w:pPr>
            <w:r w:rsidRPr="00622955">
              <w:rPr>
                <w:rFonts w:eastAsia="Times New Roman" w:cs="Times New Roman"/>
                <w:color w:val="000000"/>
                <w:sz w:val="22"/>
                <w:lang w:val="de-CH" w:eastAsia="de-CH"/>
              </w:rPr>
              <w:t xml:space="preserve">Future AMI in 1 </w:t>
            </w:r>
            <w:proofErr w:type="spellStart"/>
            <w:r w:rsidRPr="00622955">
              <w:rPr>
                <w:rFonts w:eastAsia="Times New Roman" w:cs="Times New Roman"/>
                <w:color w:val="000000"/>
                <w:sz w:val="22"/>
                <w:lang w:val="de-CH" w:eastAsia="de-CH"/>
              </w:rPr>
              <w:t>year</w:t>
            </w:r>
            <w:proofErr w:type="spellEnd"/>
          </w:p>
        </w:tc>
        <w:tc>
          <w:tcPr>
            <w:tcW w:w="2112" w:type="dxa"/>
            <w:tcBorders>
              <w:top w:val="nil"/>
              <w:left w:val="nil"/>
              <w:bottom w:val="single" w:sz="8" w:space="0" w:color="auto"/>
              <w:right w:val="dotted" w:sz="4" w:space="0" w:color="auto"/>
            </w:tcBorders>
            <w:shd w:val="clear" w:color="auto" w:fill="auto"/>
            <w:noWrap/>
            <w:vAlign w:val="center"/>
            <w:hideMark/>
          </w:tcPr>
          <w:p w14:paraId="619AA16D" w14:textId="03DB0413" w:rsidR="00C56CBD" w:rsidRPr="00622955" w:rsidRDefault="00C56CBD" w:rsidP="00106FBA">
            <w:pPr>
              <w:spacing w:after="0" w:line="240" w:lineRule="auto"/>
              <w:jc w:val="center"/>
              <w:rPr>
                <w:rFonts w:eastAsia="Times New Roman" w:cs="Times New Roman"/>
                <w:color w:val="000000"/>
                <w:sz w:val="22"/>
                <w:lang w:val="de-CH" w:eastAsia="de-CH"/>
              </w:rPr>
            </w:pPr>
            <w:r w:rsidRPr="00622955">
              <w:rPr>
                <w:rFonts w:eastAsia="Times New Roman" w:cs="Times New Roman"/>
                <w:color w:val="000000"/>
                <w:sz w:val="22"/>
                <w:lang w:val="de-CH" w:eastAsia="de-CH"/>
              </w:rPr>
              <w:t>20 (</w:t>
            </w:r>
            <w:r w:rsidR="00B26E08" w:rsidRPr="00622955">
              <w:rPr>
                <w:rFonts w:eastAsia="Times New Roman" w:cs="Times New Roman"/>
                <w:color w:val="000000"/>
                <w:sz w:val="22"/>
                <w:lang w:val="de-CH" w:eastAsia="de-CH"/>
              </w:rPr>
              <w:t>5.7</w:t>
            </w:r>
            <w:r w:rsidRPr="00622955">
              <w:rPr>
                <w:rFonts w:eastAsia="Times New Roman" w:cs="Times New Roman"/>
                <w:color w:val="000000"/>
                <w:sz w:val="22"/>
                <w:lang w:val="de-CH" w:eastAsia="de-CH"/>
              </w:rPr>
              <w:t>%</w:t>
            </w:r>
            <w:r w:rsidR="00622955" w:rsidRPr="00924D72">
              <w:rPr>
                <w:rFonts w:eastAsia="Times New Roman" w:cs="Times New Roman"/>
                <w:color w:val="000000"/>
                <w:sz w:val="22"/>
                <w:lang w:val="de-CH" w:eastAsia="de-CH"/>
              </w:rPr>
              <w:t>, 3.3-8.1</w:t>
            </w:r>
            <w:r w:rsidRPr="00622955">
              <w:rPr>
                <w:rFonts w:eastAsia="Times New Roman" w:cs="Times New Roman"/>
                <w:color w:val="000000"/>
                <w:sz w:val="22"/>
                <w:lang w:val="de-CH" w:eastAsia="de-CH"/>
              </w:rPr>
              <w:t>)</w:t>
            </w:r>
          </w:p>
        </w:tc>
        <w:tc>
          <w:tcPr>
            <w:tcW w:w="1984" w:type="dxa"/>
            <w:tcBorders>
              <w:top w:val="nil"/>
              <w:left w:val="nil"/>
              <w:bottom w:val="single" w:sz="8" w:space="0" w:color="auto"/>
              <w:right w:val="dotted" w:sz="4" w:space="0" w:color="auto"/>
            </w:tcBorders>
            <w:shd w:val="clear" w:color="auto" w:fill="auto"/>
            <w:noWrap/>
            <w:vAlign w:val="center"/>
            <w:hideMark/>
          </w:tcPr>
          <w:p w14:paraId="042FB55B" w14:textId="7C5BFD61" w:rsidR="00C56CBD" w:rsidRPr="00622955" w:rsidRDefault="00C56CBD" w:rsidP="00106FBA">
            <w:pPr>
              <w:spacing w:after="0" w:line="240" w:lineRule="auto"/>
              <w:jc w:val="center"/>
              <w:rPr>
                <w:rFonts w:eastAsia="Times New Roman" w:cs="Times New Roman"/>
                <w:color w:val="000000"/>
                <w:sz w:val="22"/>
                <w:lang w:val="de-CH" w:eastAsia="de-CH"/>
              </w:rPr>
            </w:pPr>
            <w:r w:rsidRPr="00622955">
              <w:rPr>
                <w:rFonts w:eastAsia="Times New Roman" w:cs="Times New Roman"/>
                <w:color w:val="000000"/>
                <w:sz w:val="22"/>
                <w:lang w:val="de-CH" w:eastAsia="de-CH"/>
              </w:rPr>
              <w:t>26 (14.</w:t>
            </w:r>
            <w:r w:rsidR="00B26E08" w:rsidRPr="00622955">
              <w:rPr>
                <w:rFonts w:eastAsia="Times New Roman" w:cs="Times New Roman"/>
                <w:color w:val="000000"/>
                <w:sz w:val="22"/>
                <w:lang w:val="de-CH" w:eastAsia="de-CH"/>
              </w:rPr>
              <w:t>6</w:t>
            </w:r>
            <w:r w:rsidRPr="00622955">
              <w:rPr>
                <w:rFonts w:eastAsia="Times New Roman" w:cs="Times New Roman"/>
                <w:color w:val="000000"/>
                <w:sz w:val="22"/>
                <w:lang w:val="de-CH" w:eastAsia="de-CH"/>
              </w:rPr>
              <w:t>%</w:t>
            </w:r>
            <w:r w:rsidR="00F20935" w:rsidRPr="00924D72">
              <w:rPr>
                <w:rFonts w:eastAsia="Times New Roman" w:cs="Times New Roman"/>
                <w:color w:val="000000"/>
                <w:sz w:val="22"/>
                <w:lang w:val="de-CH" w:eastAsia="de-CH"/>
              </w:rPr>
              <w:t>, 9.5-19.5</w:t>
            </w:r>
            <w:r w:rsidRPr="00622955">
              <w:rPr>
                <w:rFonts w:eastAsia="Times New Roman" w:cs="Times New Roman"/>
                <w:color w:val="000000"/>
                <w:sz w:val="22"/>
                <w:lang w:val="de-CH" w:eastAsia="de-CH"/>
              </w:rPr>
              <w:t>)</w:t>
            </w:r>
          </w:p>
        </w:tc>
      </w:tr>
    </w:tbl>
    <w:p w14:paraId="2DB62555" w14:textId="77777777" w:rsidR="00C56CBD" w:rsidRDefault="00C56CBD">
      <w:pPr>
        <w:spacing w:after="0" w:line="240" w:lineRule="auto"/>
        <w:jc w:val="left"/>
        <w:rPr>
          <w:rFonts w:cs="Arial"/>
          <w:b/>
          <w:szCs w:val="24"/>
          <w:u w:val="single"/>
        </w:rPr>
      </w:pPr>
      <w:r>
        <w:rPr>
          <w:rFonts w:cs="Arial"/>
          <w:b/>
          <w:szCs w:val="24"/>
          <w:u w:val="single"/>
        </w:rPr>
        <w:br w:type="page"/>
      </w:r>
    </w:p>
    <w:p w14:paraId="5FB76035" w14:textId="77777777" w:rsidR="00E66985" w:rsidRDefault="00E66985">
      <w:pPr>
        <w:spacing w:after="0" w:line="240" w:lineRule="auto"/>
        <w:jc w:val="left"/>
        <w:rPr>
          <w:rFonts w:eastAsiaTheme="majorEastAsia" w:cs="Times New Roman"/>
          <w:b/>
          <w:bCs/>
          <w:color w:val="365F91" w:themeColor="accent1" w:themeShade="BF"/>
          <w:sz w:val="28"/>
          <w:szCs w:val="28"/>
          <w:lang w:eastAsia="en-GB"/>
        </w:rPr>
        <w:sectPr w:rsidR="00E66985" w:rsidSect="00E66985">
          <w:pgSz w:w="11906" w:h="16838"/>
          <w:pgMar w:top="851" w:right="851" w:bottom="851" w:left="851" w:header="709" w:footer="709" w:gutter="0"/>
          <w:cols w:space="708"/>
          <w:docGrid w:linePitch="360"/>
        </w:sectPr>
      </w:pPr>
    </w:p>
    <w:p w14:paraId="0B0C2FA2" w14:textId="6D8C1D82" w:rsidR="00E66985" w:rsidRPr="00143100" w:rsidRDefault="00E66985">
      <w:pPr>
        <w:spacing w:after="0" w:line="240" w:lineRule="auto"/>
        <w:jc w:val="left"/>
        <w:rPr>
          <w:rFonts w:eastAsiaTheme="majorEastAsia" w:cs="Times New Roman"/>
          <w:b/>
          <w:bCs/>
          <w:color w:val="365F91" w:themeColor="accent1" w:themeShade="BF"/>
          <w:sz w:val="28"/>
          <w:szCs w:val="28"/>
          <w:lang w:eastAsia="en-GB"/>
        </w:rPr>
      </w:pPr>
    </w:p>
    <w:p w14:paraId="563CAE34" w14:textId="74FDA2BD" w:rsidR="004F2EE9" w:rsidRDefault="004F2EE9" w:rsidP="004F2EE9">
      <w:pPr>
        <w:pStyle w:val="berschrift1"/>
        <w:rPr>
          <w:lang w:eastAsia="en-GB"/>
        </w:rPr>
      </w:pPr>
      <w:r>
        <w:rPr>
          <w:lang w:eastAsia="en-GB"/>
        </w:rPr>
        <w:t>Supplemental Figures</w:t>
      </w:r>
      <w:r w:rsidR="00032331">
        <w:rPr>
          <w:lang w:eastAsia="en-GB"/>
        </w:rPr>
        <w:t xml:space="preserve"> and Figure legends</w:t>
      </w:r>
    </w:p>
    <w:p w14:paraId="13CAC9FC" w14:textId="7A2EE1FE" w:rsidR="00C07939" w:rsidRDefault="00DF5301" w:rsidP="00143100">
      <w:pPr>
        <w:rPr>
          <w:lang w:eastAsia="en-GB"/>
        </w:rPr>
      </w:pPr>
      <w:proofErr w:type="spellStart"/>
      <w:r>
        <w:rPr>
          <w:b/>
          <w:u w:val="single"/>
          <w:lang w:eastAsia="en-GB"/>
        </w:rPr>
        <w:t>e</w:t>
      </w:r>
      <w:r w:rsidR="00317E7A">
        <w:rPr>
          <w:b/>
          <w:u w:val="single"/>
          <w:lang w:eastAsia="en-GB"/>
        </w:rPr>
        <w:t>Figure</w:t>
      </w:r>
      <w:proofErr w:type="spellEnd"/>
      <w:r w:rsidR="00C6230E" w:rsidRPr="008C33C9">
        <w:rPr>
          <w:b/>
          <w:u w:val="single"/>
          <w:lang w:eastAsia="en-GB"/>
        </w:rPr>
        <w:t xml:space="preserve"> 1</w:t>
      </w:r>
      <w:r w:rsidR="00C6230E" w:rsidRPr="00630A82">
        <w:rPr>
          <w:b/>
          <w:i/>
          <w:lang w:eastAsia="en-GB"/>
        </w:rPr>
        <w:t xml:space="preserve"> </w:t>
      </w:r>
      <w:r w:rsidR="00C6230E" w:rsidRPr="00630A82">
        <w:rPr>
          <w:lang w:eastAsia="en-GB"/>
        </w:rPr>
        <w:t>Patient flow chart for High</w:t>
      </w:r>
      <w:r w:rsidR="00C6230E">
        <w:rPr>
          <w:lang w:eastAsia="en-GB"/>
        </w:rPr>
        <w:t>-</w:t>
      </w:r>
      <w:r w:rsidR="00C6230E" w:rsidRPr="00630A82">
        <w:rPr>
          <w:lang w:eastAsia="en-GB"/>
        </w:rPr>
        <w:t>STEACS</w:t>
      </w:r>
      <w:r w:rsidR="00D84305">
        <w:rPr>
          <w:lang w:eastAsia="en-GB"/>
        </w:rPr>
        <w:t>. All patients enrolled into APACE were included in this analysis.</w:t>
      </w:r>
    </w:p>
    <w:p w14:paraId="0FE0AE83" w14:textId="77777777" w:rsidR="00C6230E" w:rsidRPr="00630A82" w:rsidRDefault="00C6230E">
      <w:pPr>
        <w:spacing w:after="0" w:line="240" w:lineRule="auto"/>
        <w:jc w:val="left"/>
        <w:rPr>
          <w:rFonts w:ascii="Arial" w:hAnsi="Arial" w:cs="Arial"/>
          <w:b/>
          <w:i/>
          <w:color w:val="1A1718"/>
          <w:szCs w:val="24"/>
          <w:lang w:eastAsia="en-GB"/>
        </w:rPr>
      </w:pPr>
    </w:p>
    <w:p w14:paraId="67E19466" w14:textId="4C20A2E7" w:rsidR="00C07939" w:rsidRPr="00630A82" w:rsidRDefault="004A2D4C">
      <w:pPr>
        <w:spacing w:after="0" w:line="240" w:lineRule="auto"/>
        <w:jc w:val="left"/>
        <w:rPr>
          <w:rFonts w:ascii="Arial" w:hAnsi="Arial" w:cs="Arial"/>
          <w:b/>
          <w:i/>
          <w:color w:val="1A1718"/>
          <w:szCs w:val="24"/>
          <w:lang w:eastAsia="en-GB"/>
        </w:rPr>
      </w:pPr>
      <w:r w:rsidRPr="00630A82">
        <w:rPr>
          <w:rFonts w:ascii="Arial" w:hAnsi="Arial" w:cs="Arial"/>
          <w:b/>
          <w:i/>
          <w:color w:val="1A1718"/>
          <w:szCs w:val="24"/>
          <w:lang w:eastAsia="en-GB"/>
        </w:rPr>
        <w:object w:dxaOrig="12766" w:dyaOrig="5580" w14:anchorId="3D07C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279pt" o:ole="">
            <v:imagedata r:id="rId12" o:title=""/>
          </v:shape>
          <o:OLEObject Type="Embed" ProgID="AcroExch.Document.DC" ShapeID="_x0000_i1025" DrawAspect="Content" ObjectID="_1613033179" r:id="rId13"/>
        </w:object>
      </w:r>
    </w:p>
    <w:p w14:paraId="7F5EDE44" w14:textId="0B78F546" w:rsidR="00DF5301" w:rsidRDefault="00DF5301">
      <w:pPr>
        <w:spacing w:after="0" w:line="240" w:lineRule="auto"/>
        <w:jc w:val="left"/>
        <w:rPr>
          <w:rFonts w:ascii="Arial" w:hAnsi="Arial" w:cs="Arial"/>
          <w:b/>
          <w:i/>
          <w:color w:val="1A1718"/>
          <w:szCs w:val="24"/>
          <w:lang w:eastAsia="en-GB"/>
        </w:rPr>
      </w:pPr>
      <w:r>
        <w:rPr>
          <w:rFonts w:ascii="Arial" w:hAnsi="Arial" w:cs="Arial"/>
          <w:b/>
          <w:i/>
          <w:color w:val="1A1718"/>
          <w:szCs w:val="24"/>
          <w:lang w:eastAsia="en-GB"/>
        </w:rPr>
        <w:br w:type="page"/>
      </w:r>
    </w:p>
    <w:p w14:paraId="3A66484F" w14:textId="7561F182" w:rsidR="00DF5301" w:rsidRPr="003E7FE3" w:rsidRDefault="00DF5301">
      <w:pPr>
        <w:spacing w:after="0" w:line="240" w:lineRule="auto"/>
        <w:jc w:val="left"/>
        <w:rPr>
          <w:rFonts w:cs="Times New Roman"/>
          <w:color w:val="1A1718"/>
          <w:szCs w:val="24"/>
          <w:u w:val="single"/>
          <w:lang w:eastAsia="en-GB"/>
        </w:rPr>
      </w:pPr>
      <w:r w:rsidRPr="003E7FE3">
        <w:rPr>
          <w:rFonts w:cs="Times New Roman"/>
          <w:b/>
          <w:color w:val="1A1718"/>
          <w:szCs w:val="24"/>
          <w:u w:val="single"/>
          <w:lang w:eastAsia="en-GB"/>
        </w:rPr>
        <w:lastRenderedPageBreak/>
        <w:t xml:space="preserve">eFigure 2 </w:t>
      </w:r>
      <w:r w:rsidRPr="003E7FE3">
        <w:rPr>
          <w:rFonts w:cs="Times New Roman"/>
          <w:b/>
          <w:color w:val="1A1718"/>
          <w:szCs w:val="24"/>
          <w:lang w:eastAsia="en-GB"/>
        </w:rPr>
        <w:t xml:space="preserve">Sensitivity analysis </w:t>
      </w:r>
      <w:r w:rsidR="00C17ED1" w:rsidRPr="003E7FE3">
        <w:rPr>
          <w:rFonts w:cs="Times New Roman"/>
          <w:color w:val="1A1718"/>
          <w:szCs w:val="24"/>
          <w:lang w:eastAsia="en-GB"/>
        </w:rPr>
        <w:t xml:space="preserve">showing </w:t>
      </w:r>
      <w:r w:rsidR="00C17ED1" w:rsidRPr="003E7FE3">
        <w:rPr>
          <w:rFonts w:cs="Times New Roman"/>
          <w:szCs w:val="24"/>
        </w:rPr>
        <w:t xml:space="preserve">1-year survival (Panel </w:t>
      </w:r>
      <w:r w:rsidR="00345A7E">
        <w:rPr>
          <w:rFonts w:cs="Times New Roman"/>
          <w:szCs w:val="24"/>
        </w:rPr>
        <w:t>left</w:t>
      </w:r>
      <w:r w:rsidR="00C17ED1" w:rsidRPr="003E7FE3">
        <w:rPr>
          <w:rFonts w:cs="Times New Roman"/>
          <w:szCs w:val="24"/>
        </w:rPr>
        <w:t>) and 1-year</w:t>
      </w:r>
      <w:r w:rsidR="00C17ED1" w:rsidRPr="003E7FE3">
        <w:rPr>
          <w:rFonts w:cs="Times New Roman"/>
          <w:i/>
          <w:szCs w:val="24"/>
        </w:rPr>
        <w:t xml:space="preserve"> </w:t>
      </w:r>
      <w:r w:rsidR="00C17ED1" w:rsidRPr="003E7FE3">
        <w:rPr>
          <w:rFonts w:cs="Times New Roman"/>
          <w:szCs w:val="24"/>
        </w:rPr>
        <w:t xml:space="preserve">survival free from future </w:t>
      </w:r>
      <w:r w:rsidR="00345A7E">
        <w:rPr>
          <w:rFonts w:cs="Times New Roman"/>
          <w:szCs w:val="24"/>
        </w:rPr>
        <w:t xml:space="preserve">non-fatal </w:t>
      </w:r>
      <w:r w:rsidR="00C17ED1" w:rsidRPr="003E7FE3">
        <w:rPr>
          <w:rFonts w:cs="Times New Roman"/>
          <w:szCs w:val="24"/>
        </w:rPr>
        <w:t xml:space="preserve">myocardial infarction (Panel </w:t>
      </w:r>
      <w:r w:rsidR="00345A7E">
        <w:rPr>
          <w:rFonts w:cs="Times New Roman"/>
          <w:szCs w:val="24"/>
        </w:rPr>
        <w:t>right</w:t>
      </w:r>
      <w:r w:rsidR="00C17ED1" w:rsidRPr="003E7FE3">
        <w:rPr>
          <w:rFonts w:cs="Times New Roman"/>
          <w:szCs w:val="24"/>
        </w:rPr>
        <w:t>) of</w:t>
      </w:r>
      <w:r w:rsidR="00C17ED1" w:rsidRPr="003E7FE3">
        <w:rPr>
          <w:rFonts w:cs="Times New Roman"/>
          <w:i/>
          <w:szCs w:val="24"/>
        </w:rPr>
        <w:t xml:space="preserve"> </w:t>
      </w:r>
      <w:r w:rsidR="00C17ED1" w:rsidRPr="003E7FE3">
        <w:rPr>
          <w:rFonts w:cs="Times New Roman"/>
          <w:szCs w:val="24"/>
        </w:rPr>
        <w:t>patients stratified according to final adjudicated diagnoses adjudicated with hs-cTnI in APACE. P-values were calculated using the Log-rank test; NSTEMI = non-ST-segment elevation myocardial infarction; STEMI = ST-segment elevation myocardial infarction</w:t>
      </w:r>
    </w:p>
    <w:p w14:paraId="67FABC54" w14:textId="17C44BA9" w:rsidR="00345A7E" w:rsidRDefault="00345A7E">
      <w:pPr>
        <w:spacing w:after="0" w:line="240" w:lineRule="auto"/>
        <w:jc w:val="left"/>
        <w:rPr>
          <w:rFonts w:ascii="Arial" w:hAnsi="Arial" w:cs="Arial"/>
          <w:b/>
          <w:i/>
          <w:color w:val="1A1718"/>
          <w:szCs w:val="24"/>
          <w:lang w:eastAsia="en-GB"/>
        </w:rPr>
      </w:pPr>
      <w:r>
        <w:rPr>
          <w:rFonts w:ascii="Arial" w:hAnsi="Arial" w:cs="Arial"/>
          <w:b/>
          <w:i/>
          <w:noProof/>
          <w:color w:val="1A1718"/>
          <w:szCs w:val="24"/>
          <w:lang w:eastAsia="en-GB"/>
        </w:rPr>
        <w:drawing>
          <wp:inline distT="0" distB="0" distL="0" distR="0" wp14:anchorId="43468B18" wp14:editId="1B5C5AB1">
            <wp:extent cx="9537071" cy="42576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59883" cy="4267859"/>
                    </a:xfrm>
                    <a:prstGeom prst="rect">
                      <a:avLst/>
                    </a:prstGeom>
                    <a:noFill/>
                  </pic:spPr>
                </pic:pic>
              </a:graphicData>
            </a:graphic>
          </wp:inline>
        </w:drawing>
      </w:r>
    </w:p>
    <w:p w14:paraId="5E2843E6" w14:textId="793100DB" w:rsidR="00DF5301" w:rsidRDefault="00DF5301">
      <w:pPr>
        <w:spacing w:after="0" w:line="240" w:lineRule="auto"/>
        <w:jc w:val="left"/>
        <w:rPr>
          <w:rFonts w:ascii="Arial" w:hAnsi="Arial" w:cs="Arial"/>
          <w:b/>
          <w:i/>
          <w:color w:val="1A1718"/>
          <w:szCs w:val="24"/>
          <w:lang w:eastAsia="en-GB"/>
        </w:rPr>
      </w:pPr>
      <w:r>
        <w:rPr>
          <w:rFonts w:ascii="Arial" w:hAnsi="Arial" w:cs="Arial"/>
          <w:b/>
          <w:i/>
          <w:color w:val="1A1718"/>
          <w:szCs w:val="24"/>
          <w:lang w:eastAsia="en-GB"/>
        </w:rPr>
        <w:br w:type="page"/>
      </w:r>
    </w:p>
    <w:p w14:paraId="79CA4859" w14:textId="77777777" w:rsidR="00032331" w:rsidRDefault="00032331">
      <w:pPr>
        <w:spacing w:after="0" w:line="240" w:lineRule="auto"/>
        <w:jc w:val="left"/>
        <w:rPr>
          <w:rFonts w:ascii="Arial" w:hAnsi="Arial" w:cs="Arial"/>
          <w:b/>
          <w:i/>
          <w:color w:val="1A1718"/>
          <w:szCs w:val="24"/>
          <w:lang w:eastAsia="en-GB"/>
        </w:rPr>
        <w:sectPr w:rsidR="00032331" w:rsidSect="00032331">
          <w:pgSz w:w="16838" w:h="11906" w:orient="landscape"/>
          <w:pgMar w:top="851" w:right="851" w:bottom="851" w:left="851" w:header="709" w:footer="709" w:gutter="0"/>
          <w:cols w:space="708"/>
          <w:docGrid w:linePitch="360"/>
        </w:sectPr>
      </w:pPr>
    </w:p>
    <w:p w14:paraId="4DC6F126" w14:textId="5B6C386E" w:rsidR="00032331" w:rsidRPr="00630A82" w:rsidRDefault="00032331" w:rsidP="00032331">
      <w:pPr>
        <w:pStyle w:val="berschrift1"/>
      </w:pPr>
      <w:r w:rsidRPr="00630A82">
        <w:lastRenderedPageBreak/>
        <w:t xml:space="preserve">Supplemental references </w:t>
      </w:r>
    </w:p>
    <w:p w14:paraId="6304FB37" w14:textId="5AF0AAD5" w:rsidR="00C432E6" w:rsidRPr="00C432E6" w:rsidRDefault="00032331" w:rsidP="00C432E6">
      <w:pPr>
        <w:widowControl w:val="0"/>
        <w:autoSpaceDE w:val="0"/>
        <w:autoSpaceDN w:val="0"/>
        <w:adjustRightInd w:val="0"/>
        <w:ind w:left="640" w:hanging="640"/>
        <w:rPr>
          <w:rFonts w:cs="Times New Roman"/>
          <w:noProof/>
          <w:szCs w:val="24"/>
        </w:rPr>
      </w:pPr>
      <w:r w:rsidRPr="00630A82">
        <w:rPr>
          <w:rFonts w:asciiTheme="majorHAnsi" w:hAnsiTheme="majorHAnsi" w:cstheme="majorHAnsi"/>
          <w:b/>
          <w:szCs w:val="32"/>
        </w:rPr>
        <w:fldChar w:fldCharType="begin" w:fldLock="1"/>
      </w:r>
      <w:r w:rsidRPr="00630A82">
        <w:rPr>
          <w:rFonts w:asciiTheme="majorHAnsi" w:hAnsiTheme="majorHAnsi" w:cstheme="majorHAnsi"/>
          <w:b/>
          <w:szCs w:val="32"/>
        </w:rPr>
        <w:instrText xml:space="preserve">ADDIN Mendeley Bibliography CSL_BIBLIOGRAPHY </w:instrText>
      </w:r>
      <w:r w:rsidRPr="00630A82">
        <w:rPr>
          <w:rFonts w:asciiTheme="majorHAnsi" w:hAnsiTheme="majorHAnsi" w:cstheme="majorHAnsi"/>
          <w:b/>
          <w:szCs w:val="32"/>
        </w:rPr>
        <w:fldChar w:fldCharType="separate"/>
      </w:r>
      <w:r w:rsidR="00C432E6" w:rsidRPr="00C432E6">
        <w:rPr>
          <w:rFonts w:cs="Times New Roman"/>
          <w:noProof/>
          <w:szCs w:val="24"/>
        </w:rPr>
        <w:t xml:space="preserve">1 </w:t>
      </w:r>
      <w:r w:rsidR="00C432E6" w:rsidRPr="00C432E6">
        <w:rPr>
          <w:rFonts w:cs="Times New Roman"/>
          <w:noProof/>
          <w:szCs w:val="24"/>
        </w:rPr>
        <w:tab/>
        <w:t xml:space="preserve">Vasile VC, Saenger AK, Kroning JM, </w:t>
      </w:r>
      <w:r w:rsidR="00C432E6" w:rsidRPr="00C432E6">
        <w:rPr>
          <w:rFonts w:cs="Times New Roman"/>
          <w:i/>
          <w:iCs/>
          <w:noProof/>
          <w:szCs w:val="24"/>
        </w:rPr>
        <w:t>et al.</w:t>
      </w:r>
      <w:r w:rsidR="00C432E6" w:rsidRPr="00C432E6">
        <w:rPr>
          <w:rFonts w:cs="Times New Roman"/>
          <w:noProof/>
          <w:szCs w:val="24"/>
        </w:rPr>
        <w:t xml:space="preserve"> Biological and analytical variability of a novel high-sensitivity cardiac troponin T assay. </w:t>
      </w:r>
      <w:r w:rsidR="00C432E6" w:rsidRPr="00C432E6">
        <w:rPr>
          <w:rFonts w:cs="Times New Roman"/>
          <w:i/>
          <w:iCs/>
          <w:noProof/>
          <w:szCs w:val="24"/>
        </w:rPr>
        <w:t>Clin Chem</w:t>
      </w:r>
      <w:r w:rsidR="00C432E6" w:rsidRPr="00C432E6">
        <w:rPr>
          <w:rFonts w:cs="Times New Roman"/>
          <w:noProof/>
          <w:szCs w:val="24"/>
        </w:rPr>
        <w:t xml:space="preserve"> 2010;</w:t>
      </w:r>
      <w:r w:rsidR="00C432E6" w:rsidRPr="00C432E6">
        <w:rPr>
          <w:rFonts w:cs="Times New Roman"/>
          <w:b/>
          <w:bCs/>
          <w:noProof/>
          <w:szCs w:val="24"/>
        </w:rPr>
        <w:t>56</w:t>
      </w:r>
      <w:r w:rsidR="00C432E6" w:rsidRPr="00C432E6">
        <w:rPr>
          <w:rFonts w:cs="Times New Roman"/>
          <w:noProof/>
          <w:szCs w:val="24"/>
        </w:rPr>
        <w:t>:1086–90. doi:10.1373/clinchem.2009.140616</w:t>
      </w:r>
    </w:p>
    <w:p w14:paraId="51265C40"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2 </w:t>
      </w:r>
      <w:r w:rsidRPr="00C432E6">
        <w:rPr>
          <w:rFonts w:cs="Times New Roman"/>
          <w:noProof/>
          <w:szCs w:val="24"/>
        </w:rPr>
        <w:tab/>
        <w:t xml:space="preserve">Wu AHBB, Lu QA, Todd J, </w:t>
      </w:r>
      <w:r w:rsidRPr="00C432E6">
        <w:rPr>
          <w:rFonts w:cs="Times New Roman"/>
          <w:i/>
          <w:iCs/>
          <w:noProof/>
          <w:szCs w:val="24"/>
        </w:rPr>
        <w:t>et al.</w:t>
      </w:r>
      <w:r w:rsidRPr="00C432E6">
        <w:rPr>
          <w:rFonts w:cs="Times New Roman"/>
          <w:noProof/>
          <w:szCs w:val="24"/>
        </w:rPr>
        <w:t xml:space="preserve"> Short- and long-term biological variation in cardiac troponin I measured with a high-sensitivity assay: implications for clinical practice. </w:t>
      </w:r>
      <w:r w:rsidRPr="00C432E6">
        <w:rPr>
          <w:rFonts w:cs="Times New Roman"/>
          <w:i/>
          <w:iCs/>
          <w:noProof/>
          <w:szCs w:val="24"/>
        </w:rPr>
        <w:t>Clin Chem</w:t>
      </w:r>
      <w:r w:rsidRPr="00C432E6">
        <w:rPr>
          <w:rFonts w:cs="Times New Roman"/>
          <w:noProof/>
          <w:szCs w:val="24"/>
        </w:rPr>
        <w:t xml:space="preserve"> 2009;</w:t>
      </w:r>
      <w:r w:rsidRPr="00C432E6">
        <w:rPr>
          <w:rFonts w:cs="Times New Roman"/>
          <w:b/>
          <w:bCs/>
          <w:noProof/>
          <w:szCs w:val="24"/>
        </w:rPr>
        <w:t>55</w:t>
      </w:r>
      <w:r w:rsidRPr="00C432E6">
        <w:rPr>
          <w:rFonts w:cs="Times New Roman"/>
          <w:noProof/>
          <w:szCs w:val="24"/>
        </w:rPr>
        <w:t>:52–8. doi:10.1373/clinchem.2008.107391</w:t>
      </w:r>
    </w:p>
    <w:p w14:paraId="47ADD2F9"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3 </w:t>
      </w:r>
      <w:r w:rsidRPr="00C432E6">
        <w:rPr>
          <w:rFonts w:cs="Times New Roman"/>
          <w:noProof/>
          <w:szCs w:val="24"/>
        </w:rPr>
        <w:tab/>
        <w:t xml:space="preserve">Apple FS, Pearce LA, Smith SW, </w:t>
      </w:r>
      <w:r w:rsidRPr="00C432E6">
        <w:rPr>
          <w:rFonts w:cs="Times New Roman"/>
          <w:i/>
          <w:iCs/>
          <w:noProof/>
          <w:szCs w:val="24"/>
        </w:rPr>
        <w:t>et al.</w:t>
      </w:r>
      <w:r w:rsidRPr="00C432E6">
        <w:rPr>
          <w:rFonts w:cs="Times New Roman"/>
          <w:noProof/>
          <w:szCs w:val="24"/>
        </w:rPr>
        <w:t xml:space="preserve"> Role of monitoring changes in sensitive cardiac troponin I assay results for early diagnosis of myocardial infarction and prediction of risk of adverse events. </w:t>
      </w:r>
      <w:r w:rsidRPr="00C432E6">
        <w:rPr>
          <w:rFonts w:cs="Times New Roman"/>
          <w:i/>
          <w:iCs/>
          <w:noProof/>
          <w:szCs w:val="24"/>
        </w:rPr>
        <w:t>Clin Chem</w:t>
      </w:r>
      <w:r w:rsidRPr="00C432E6">
        <w:rPr>
          <w:rFonts w:cs="Times New Roman"/>
          <w:noProof/>
          <w:szCs w:val="24"/>
        </w:rPr>
        <w:t xml:space="preserve"> 2009;</w:t>
      </w:r>
      <w:r w:rsidRPr="00C432E6">
        <w:rPr>
          <w:rFonts w:cs="Times New Roman"/>
          <w:b/>
          <w:bCs/>
          <w:noProof/>
          <w:szCs w:val="24"/>
        </w:rPr>
        <w:t>55</w:t>
      </w:r>
      <w:r w:rsidRPr="00C432E6">
        <w:rPr>
          <w:rFonts w:cs="Times New Roman"/>
          <w:noProof/>
          <w:szCs w:val="24"/>
        </w:rPr>
        <w:t>:930–7. doi:10.1373/clinchem.2008.114728</w:t>
      </w:r>
    </w:p>
    <w:p w14:paraId="72837E7C" w14:textId="77777777" w:rsidR="00C432E6" w:rsidRPr="003E7FE3" w:rsidRDefault="00C432E6" w:rsidP="00C432E6">
      <w:pPr>
        <w:widowControl w:val="0"/>
        <w:autoSpaceDE w:val="0"/>
        <w:autoSpaceDN w:val="0"/>
        <w:adjustRightInd w:val="0"/>
        <w:ind w:left="640" w:hanging="640"/>
        <w:rPr>
          <w:rFonts w:cs="Times New Roman"/>
          <w:noProof/>
          <w:szCs w:val="24"/>
          <w:lang w:val="de-CH"/>
        </w:rPr>
      </w:pPr>
      <w:r w:rsidRPr="00C432E6">
        <w:rPr>
          <w:rFonts w:cs="Times New Roman"/>
          <w:noProof/>
          <w:szCs w:val="24"/>
        </w:rPr>
        <w:t xml:space="preserve">4 </w:t>
      </w:r>
      <w:r w:rsidRPr="00C432E6">
        <w:rPr>
          <w:rFonts w:cs="Times New Roman"/>
          <w:noProof/>
          <w:szCs w:val="24"/>
        </w:rPr>
        <w:tab/>
        <w:t xml:space="preserve">Hammarsten O, Fu MLXX, Sigurjonsdottir R, </w:t>
      </w:r>
      <w:r w:rsidRPr="00C432E6">
        <w:rPr>
          <w:rFonts w:cs="Times New Roman"/>
          <w:i/>
          <w:iCs/>
          <w:noProof/>
          <w:szCs w:val="24"/>
        </w:rPr>
        <w:t>et al.</w:t>
      </w:r>
      <w:r w:rsidRPr="00C432E6">
        <w:rPr>
          <w:rFonts w:cs="Times New Roman"/>
          <w:noProof/>
          <w:szCs w:val="24"/>
        </w:rPr>
        <w:t xml:space="preserve"> Troponin T percentiles from a random population sample, emergency room patients and patients with myocardial infarction. </w:t>
      </w:r>
      <w:r w:rsidRPr="003E7FE3">
        <w:rPr>
          <w:rFonts w:cs="Times New Roman"/>
          <w:i/>
          <w:iCs/>
          <w:noProof/>
          <w:szCs w:val="24"/>
          <w:lang w:val="de-CH"/>
        </w:rPr>
        <w:t>Clin Chem</w:t>
      </w:r>
      <w:r w:rsidRPr="003E7FE3">
        <w:rPr>
          <w:rFonts w:cs="Times New Roman"/>
          <w:noProof/>
          <w:szCs w:val="24"/>
          <w:lang w:val="de-CH"/>
        </w:rPr>
        <w:t xml:space="preserve"> 2012;</w:t>
      </w:r>
      <w:r w:rsidRPr="003E7FE3">
        <w:rPr>
          <w:rFonts w:cs="Times New Roman"/>
          <w:b/>
          <w:bCs/>
          <w:noProof/>
          <w:szCs w:val="24"/>
          <w:lang w:val="de-CH"/>
        </w:rPr>
        <w:t>58</w:t>
      </w:r>
      <w:r w:rsidRPr="003E7FE3">
        <w:rPr>
          <w:rFonts w:cs="Times New Roman"/>
          <w:noProof/>
          <w:szCs w:val="24"/>
          <w:lang w:val="de-CH"/>
        </w:rPr>
        <w:t>:628–37. doi:10.1373/clinchem.2011.171496</w:t>
      </w:r>
    </w:p>
    <w:p w14:paraId="399847B2" w14:textId="7E265BC2" w:rsidR="00C432E6" w:rsidRPr="00C432E6" w:rsidRDefault="00C432E6" w:rsidP="00C432E6">
      <w:pPr>
        <w:widowControl w:val="0"/>
        <w:autoSpaceDE w:val="0"/>
        <w:autoSpaceDN w:val="0"/>
        <w:adjustRightInd w:val="0"/>
        <w:ind w:left="640" w:hanging="640"/>
        <w:rPr>
          <w:rFonts w:cs="Times New Roman"/>
          <w:noProof/>
          <w:szCs w:val="24"/>
        </w:rPr>
      </w:pPr>
      <w:r w:rsidRPr="003E7FE3">
        <w:rPr>
          <w:rFonts w:cs="Times New Roman"/>
          <w:noProof/>
          <w:szCs w:val="24"/>
          <w:lang w:val="de-CH"/>
        </w:rPr>
        <w:t xml:space="preserve">5 </w:t>
      </w:r>
      <w:r w:rsidRPr="003E7FE3">
        <w:rPr>
          <w:rFonts w:cs="Times New Roman"/>
          <w:noProof/>
          <w:szCs w:val="24"/>
          <w:lang w:val="de-CH"/>
        </w:rPr>
        <w:tab/>
        <w:t xml:space="preserve">Reichlin T, Twerenbold R, Maushart C, </w:t>
      </w:r>
      <w:r w:rsidRPr="003E7FE3">
        <w:rPr>
          <w:rFonts w:cs="Times New Roman"/>
          <w:i/>
          <w:iCs/>
          <w:noProof/>
          <w:szCs w:val="24"/>
          <w:lang w:val="de-CH"/>
        </w:rPr>
        <w:t>et al.</w:t>
      </w:r>
      <w:r w:rsidRPr="003E7FE3">
        <w:rPr>
          <w:rFonts w:cs="Times New Roman"/>
          <w:noProof/>
          <w:szCs w:val="24"/>
          <w:lang w:val="de-CH"/>
        </w:rPr>
        <w:t xml:space="preserve"> </w:t>
      </w:r>
      <w:r w:rsidRPr="00C432E6">
        <w:rPr>
          <w:rFonts w:cs="Times New Roman"/>
          <w:noProof/>
          <w:szCs w:val="24"/>
        </w:rPr>
        <w:t xml:space="preserve">Risk stratification in patients with unstable angina using absolute serial changes of 3 high-sensitive troponin assays. </w:t>
      </w:r>
      <w:r w:rsidRPr="00C432E6">
        <w:rPr>
          <w:rFonts w:cs="Times New Roman"/>
          <w:i/>
          <w:iCs/>
          <w:noProof/>
          <w:szCs w:val="24"/>
        </w:rPr>
        <w:t>Am Heart J</w:t>
      </w:r>
      <w:r w:rsidRPr="00C432E6">
        <w:rPr>
          <w:rFonts w:cs="Times New Roman"/>
          <w:noProof/>
          <w:szCs w:val="24"/>
        </w:rPr>
        <w:t xml:space="preserve"> 2013;</w:t>
      </w:r>
      <w:r w:rsidRPr="00C432E6">
        <w:rPr>
          <w:rFonts w:cs="Times New Roman"/>
          <w:b/>
          <w:bCs/>
          <w:noProof/>
          <w:szCs w:val="24"/>
        </w:rPr>
        <w:t>165</w:t>
      </w:r>
      <w:r w:rsidRPr="00C432E6">
        <w:rPr>
          <w:rFonts w:cs="Times New Roman"/>
          <w:noProof/>
          <w:szCs w:val="24"/>
        </w:rPr>
        <w:t>:371–8.e3. doi:10.1016/j.ahj.2012.11.010</w:t>
      </w:r>
    </w:p>
    <w:p w14:paraId="220339D4"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6 </w:t>
      </w:r>
      <w:r w:rsidRPr="00C432E6">
        <w:rPr>
          <w:rFonts w:cs="Times New Roman"/>
          <w:noProof/>
          <w:szCs w:val="24"/>
        </w:rPr>
        <w:tab/>
        <w:t xml:space="preserve">Agarwal SK. Sources of variability in measurements of cardiac troponin T in a community-based sample: the atherosclerosis risk in communities study. </w:t>
      </w:r>
      <w:r w:rsidRPr="00C432E6">
        <w:rPr>
          <w:rFonts w:cs="Times New Roman"/>
          <w:i/>
          <w:iCs/>
          <w:noProof/>
          <w:szCs w:val="24"/>
        </w:rPr>
        <w:t>Clin Chem</w:t>
      </w:r>
      <w:r w:rsidRPr="00C432E6">
        <w:rPr>
          <w:rFonts w:cs="Times New Roman"/>
          <w:noProof/>
          <w:szCs w:val="24"/>
        </w:rPr>
        <w:t xml:space="preserve"> 2011;</w:t>
      </w:r>
      <w:r w:rsidRPr="00C432E6">
        <w:rPr>
          <w:rFonts w:cs="Times New Roman"/>
          <w:b/>
          <w:bCs/>
          <w:noProof/>
          <w:szCs w:val="24"/>
        </w:rPr>
        <w:t>57</w:t>
      </w:r>
      <w:r w:rsidRPr="00C432E6">
        <w:rPr>
          <w:rFonts w:cs="Times New Roman"/>
          <w:noProof/>
          <w:szCs w:val="24"/>
        </w:rPr>
        <w:t>:891–7. doi:dx.doi.org/10.1373/clinchem.2010.159350</w:t>
      </w:r>
    </w:p>
    <w:p w14:paraId="70CE3C66"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7 </w:t>
      </w:r>
      <w:r w:rsidRPr="00C432E6">
        <w:rPr>
          <w:rFonts w:cs="Times New Roman"/>
          <w:noProof/>
          <w:szCs w:val="24"/>
        </w:rPr>
        <w:tab/>
        <w:t xml:space="preserve">Giannitsis E, Kurz K, Hallermayer K, </w:t>
      </w:r>
      <w:r w:rsidRPr="00C432E6">
        <w:rPr>
          <w:rFonts w:cs="Times New Roman"/>
          <w:i/>
          <w:iCs/>
          <w:noProof/>
          <w:szCs w:val="24"/>
        </w:rPr>
        <w:t>et al.</w:t>
      </w:r>
      <w:r w:rsidRPr="00C432E6">
        <w:rPr>
          <w:rFonts w:cs="Times New Roman"/>
          <w:noProof/>
          <w:szCs w:val="24"/>
        </w:rPr>
        <w:t xml:space="preserve"> Analytical Validation of a High-Sensitivity Cardiac Troponin T Assay. </w:t>
      </w:r>
      <w:r w:rsidRPr="00C432E6">
        <w:rPr>
          <w:rFonts w:cs="Times New Roman"/>
          <w:i/>
          <w:iCs/>
          <w:noProof/>
          <w:szCs w:val="24"/>
        </w:rPr>
        <w:t>Clin Chem</w:t>
      </w:r>
      <w:r w:rsidRPr="00C432E6">
        <w:rPr>
          <w:rFonts w:cs="Times New Roman"/>
          <w:noProof/>
          <w:szCs w:val="24"/>
        </w:rPr>
        <w:t xml:space="preserve"> 2010;</w:t>
      </w:r>
      <w:r w:rsidRPr="00C432E6">
        <w:rPr>
          <w:rFonts w:cs="Times New Roman"/>
          <w:b/>
          <w:bCs/>
          <w:noProof/>
          <w:szCs w:val="24"/>
        </w:rPr>
        <w:t>56</w:t>
      </w:r>
      <w:r w:rsidRPr="00C432E6">
        <w:rPr>
          <w:rFonts w:cs="Times New Roman"/>
          <w:noProof/>
          <w:szCs w:val="24"/>
        </w:rPr>
        <w:t>:254–61. doi:10.1373/clinchem.2009.132654</w:t>
      </w:r>
    </w:p>
    <w:p w14:paraId="32F012B6"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lastRenderedPageBreak/>
        <w:t xml:space="preserve">8 </w:t>
      </w:r>
      <w:r w:rsidRPr="00C432E6">
        <w:rPr>
          <w:rFonts w:cs="Times New Roman"/>
          <w:noProof/>
          <w:szCs w:val="24"/>
        </w:rPr>
        <w:tab/>
        <w:t xml:space="preserve">Mills NL, Churchhouse AMD, Lee KK, </w:t>
      </w:r>
      <w:r w:rsidRPr="00C432E6">
        <w:rPr>
          <w:rFonts w:cs="Times New Roman"/>
          <w:i/>
          <w:iCs/>
          <w:noProof/>
          <w:szCs w:val="24"/>
        </w:rPr>
        <w:t>et al.</w:t>
      </w:r>
      <w:r w:rsidRPr="00C432E6">
        <w:rPr>
          <w:rFonts w:cs="Times New Roman"/>
          <w:noProof/>
          <w:szCs w:val="24"/>
        </w:rPr>
        <w:t xml:space="preserve"> Implementation of a sensitive troponin I assay and risk of recurrent myocardial infarction and death in patients with suspected acute coronary syndrome. </w:t>
      </w:r>
      <w:r w:rsidRPr="00C432E6">
        <w:rPr>
          <w:rFonts w:cs="Times New Roman"/>
          <w:i/>
          <w:iCs/>
          <w:noProof/>
          <w:szCs w:val="24"/>
        </w:rPr>
        <w:t>JAMA</w:t>
      </w:r>
      <w:r w:rsidRPr="00C432E6">
        <w:rPr>
          <w:rFonts w:cs="Times New Roman"/>
          <w:noProof/>
          <w:szCs w:val="24"/>
        </w:rPr>
        <w:t xml:space="preserve"> 2011;</w:t>
      </w:r>
      <w:r w:rsidRPr="00C432E6">
        <w:rPr>
          <w:rFonts w:cs="Times New Roman"/>
          <w:b/>
          <w:bCs/>
          <w:noProof/>
          <w:szCs w:val="24"/>
        </w:rPr>
        <w:t>305</w:t>
      </w:r>
      <w:r w:rsidRPr="00C432E6">
        <w:rPr>
          <w:rFonts w:cs="Times New Roman"/>
          <w:noProof/>
          <w:szCs w:val="24"/>
        </w:rPr>
        <w:t>:1210–6. doi:10.1001/jama.2011.338</w:t>
      </w:r>
    </w:p>
    <w:p w14:paraId="3F0A9B1F"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9 </w:t>
      </w:r>
      <w:r w:rsidRPr="00C432E6">
        <w:rPr>
          <w:rFonts w:cs="Times New Roman"/>
          <w:noProof/>
          <w:szCs w:val="24"/>
        </w:rPr>
        <w:tab/>
        <w:t xml:space="preserve">Mills NL, Lee KK, McAllister DA, </w:t>
      </w:r>
      <w:r w:rsidRPr="00C432E6">
        <w:rPr>
          <w:rFonts w:cs="Times New Roman"/>
          <w:i/>
          <w:iCs/>
          <w:noProof/>
          <w:szCs w:val="24"/>
        </w:rPr>
        <w:t>et al.</w:t>
      </w:r>
      <w:r w:rsidRPr="00C432E6">
        <w:rPr>
          <w:rFonts w:cs="Times New Roman"/>
          <w:noProof/>
          <w:szCs w:val="24"/>
        </w:rPr>
        <w:t xml:space="preserve"> Implications of lowering threshold of plasma troponin concentration in diagnosis of myocardial infarction: cohort study. </w:t>
      </w:r>
      <w:r w:rsidRPr="00C432E6">
        <w:rPr>
          <w:rFonts w:cs="Times New Roman"/>
          <w:i/>
          <w:iCs/>
          <w:noProof/>
          <w:szCs w:val="24"/>
        </w:rPr>
        <w:t>BMJ</w:t>
      </w:r>
      <w:r w:rsidRPr="00C432E6">
        <w:rPr>
          <w:rFonts w:cs="Times New Roman"/>
          <w:noProof/>
          <w:szCs w:val="24"/>
        </w:rPr>
        <w:t xml:space="preserve"> 2012;</w:t>
      </w:r>
      <w:r w:rsidRPr="00C432E6">
        <w:rPr>
          <w:rFonts w:cs="Times New Roman"/>
          <w:b/>
          <w:bCs/>
          <w:noProof/>
          <w:szCs w:val="24"/>
        </w:rPr>
        <w:t>344</w:t>
      </w:r>
      <w:r w:rsidRPr="00C432E6">
        <w:rPr>
          <w:rFonts w:cs="Times New Roman"/>
          <w:noProof/>
          <w:szCs w:val="24"/>
        </w:rPr>
        <w:t>:e1533. doi:10.1136/bmj.e1533</w:t>
      </w:r>
    </w:p>
    <w:p w14:paraId="14EDC749"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10 </w:t>
      </w:r>
      <w:r w:rsidRPr="00C432E6">
        <w:rPr>
          <w:rFonts w:cs="Times New Roman"/>
          <w:noProof/>
          <w:szCs w:val="24"/>
        </w:rPr>
        <w:tab/>
        <w:t>Shah AS V, Newby DE, Mills NL. High sensitivity cardiac troponin in patients with chest pain. 2013;</w:t>
      </w:r>
      <w:r w:rsidRPr="00C432E6">
        <w:rPr>
          <w:rFonts w:cs="Times New Roman"/>
          <w:b/>
          <w:bCs/>
          <w:noProof/>
          <w:szCs w:val="24"/>
        </w:rPr>
        <w:t>347</w:t>
      </w:r>
      <w:r w:rsidRPr="00C432E6">
        <w:rPr>
          <w:rFonts w:cs="Times New Roman"/>
          <w:noProof/>
          <w:szCs w:val="24"/>
        </w:rPr>
        <w:t>:f4222.</w:t>
      </w:r>
    </w:p>
    <w:p w14:paraId="0102F8E4"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11 </w:t>
      </w:r>
      <w:r w:rsidRPr="00C432E6">
        <w:rPr>
          <w:rFonts w:cs="Times New Roman"/>
          <w:noProof/>
          <w:szCs w:val="24"/>
        </w:rPr>
        <w:tab/>
        <w:t xml:space="preserve">Shah AS V, Griffiths M, Lee KK, </w:t>
      </w:r>
      <w:r w:rsidRPr="00C432E6">
        <w:rPr>
          <w:rFonts w:cs="Times New Roman"/>
          <w:i/>
          <w:iCs/>
          <w:noProof/>
          <w:szCs w:val="24"/>
        </w:rPr>
        <w:t>et al.</w:t>
      </w:r>
      <w:r w:rsidRPr="00C432E6">
        <w:rPr>
          <w:rFonts w:cs="Times New Roman"/>
          <w:noProof/>
          <w:szCs w:val="24"/>
        </w:rPr>
        <w:t xml:space="preserve"> High sensitivity cardiac troponin and the under-diagnosis of myocardial infarction in women: prospective cohort study. </w:t>
      </w:r>
      <w:r w:rsidRPr="00C432E6">
        <w:rPr>
          <w:rFonts w:cs="Times New Roman"/>
          <w:i/>
          <w:iCs/>
          <w:noProof/>
          <w:szCs w:val="24"/>
        </w:rPr>
        <w:t>BMJ</w:t>
      </w:r>
      <w:r w:rsidRPr="00C432E6">
        <w:rPr>
          <w:rFonts w:cs="Times New Roman"/>
          <w:noProof/>
          <w:szCs w:val="24"/>
        </w:rPr>
        <w:t xml:space="preserve"> 2015;</w:t>
      </w:r>
      <w:r w:rsidRPr="00C432E6">
        <w:rPr>
          <w:rFonts w:cs="Times New Roman"/>
          <w:b/>
          <w:bCs/>
          <w:noProof/>
          <w:szCs w:val="24"/>
        </w:rPr>
        <w:t>350</w:t>
      </w:r>
      <w:r w:rsidRPr="00C432E6">
        <w:rPr>
          <w:rFonts w:cs="Times New Roman"/>
          <w:noProof/>
          <w:szCs w:val="24"/>
        </w:rPr>
        <w:t>:g7873. doi:10.1136/bmj.g7873</w:t>
      </w:r>
    </w:p>
    <w:p w14:paraId="6A12ED3C"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12 </w:t>
      </w:r>
      <w:r w:rsidRPr="00C432E6">
        <w:rPr>
          <w:rFonts w:cs="Times New Roman"/>
          <w:noProof/>
          <w:szCs w:val="24"/>
        </w:rPr>
        <w:tab/>
        <w:t xml:space="preserve">Chin CWL, Shah AS V, McAllister DA, </w:t>
      </w:r>
      <w:r w:rsidRPr="00C432E6">
        <w:rPr>
          <w:rFonts w:cs="Times New Roman"/>
          <w:i/>
          <w:iCs/>
          <w:noProof/>
          <w:szCs w:val="24"/>
        </w:rPr>
        <w:t>et al.</w:t>
      </w:r>
      <w:r w:rsidRPr="00C432E6">
        <w:rPr>
          <w:rFonts w:cs="Times New Roman"/>
          <w:noProof/>
          <w:szCs w:val="24"/>
        </w:rPr>
        <w:t xml:space="preserve"> High-sensitivity troponin I concentrations are a marker of an advanced hypertrophic response and adverse outcomes in patients with aortic stenosis. </w:t>
      </w:r>
      <w:r w:rsidRPr="00C432E6">
        <w:rPr>
          <w:rFonts w:cs="Times New Roman"/>
          <w:i/>
          <w:iCs/>
          <w:noProof/>
          <w:szCs w:val="24"/>
        </w:rPr>
        <w:t>Eur Heart J</w:t>
      </w:r>
      <w:r w:rsidRPr="00C432E6">
        <w:rPr>
          <w:rFonts w:cs="Times New Roman"/>
          <w:noProof/>
          <w:szCs w:val="24"/>
        </w:rPr>
        <w:t xml:space="preserve"> 2014;</w:t>
      </w:r>
      <w:r w:rsidRPr="00C432E6">
        <w:rPr>
          <w:rFonts w:cs="Times New Roman"/>
          <w:b/>
          <w:bCs/>
          <w:noProof/>
          <w:szCs w:val="24"/>
        </w:rPr>
        <w:t>35</w:t>
      </w:r>
      <w:r w:rsidRPr="00C432E6">
        <w:rPr>
          <w:rFonts w:cs="Times New Roman"/>
          <w:noProof/>
          <w:szCs w:val="24"/>
        </w:rPr>
        <w:t>:2312–21. doi:10.1093/eurheartj/ehu189</w:t>
      </w:r>
    </w:p>
    <w:p w14:paraId="73240FA8"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13 </w:t>
      </w:r>
      <w:r w:rsidRPr="00C432E6">
        <w:rPr>
          <w:rFonts w:cs="Times New Roman"/>
          <w:noProof/>
          <w:szCs w:val="24"/>
        </w:rPr>
        <w:tab/>
        <w:t xml:space="preserve">Shah AS V, Chin CWL, Vassiliou V, </w:t>
      </w:r>
      <w:r w:rsidRPr="00C432E6">
        <w:rPr>
          <w:rFonts w:cs="Times New Roman"/>
          <w:i/>
          <w:iCs/>
          <w:noProof/>
          <w:szCs w:val="24"/>
        </w:rPr>
        <w:t>et al.</w:t>
      </w:r>
      <w:r w:rsidRPr="00C432E6">
        <w:rPr>
          <w:rFonts w:cs="Times New Roman"/>
          <w:noProof/>
          <w:szCs w:val="24"/>
        </w:rPr>
        <w:t xml:space="preserve"> Left ventricular hypertrophy with strain and aortic stenosis. </w:t>
      </w:r>
      <w:r w:rsidRPr="00C432E6">
        <w:rPr>
          <w:rFonts w:cs="Times New Roman"/>
          <w:i/>
          <w:iCs/>
          <w:noProof/>
          <w:szCs w:val="24"/>
        </w:rPr>
        <w:t>Circulation</w:t>
      </w:r>
      <w:r w:rsidRPr="00C432E6">
        <w:rPr>
          <w:rFonts w:cs="Times New Roman"/>
          <w:noProof/>
          <w:szCs w:val="24"/>
        </w:rPr>
        <w:t xml:space="preserve"> 2014;</w:t>
      </w:r>
      <w:r w:rsidRPr="00C432E6">
        <w:rPr>
          <w:rFonts w:cs="Times New Roman"/>
          <w:b/>
          <w:bCs/>
          <w:noProof/>
          <w:szCs w:val="24"/>
        </w:rPr>
        <w:t>130</w:t>
      </w:r>
      <w:r w:rsidRPr="00C432E6">
        <w:rPr>
          <w:rFonts w:cs="Times New Roman"/>
          <w:noProof/>
          <w:szCs w:val="24"/>
        </w:rPr>
        <w:t>:1607–16. doi:10.1161/CIRCULATIONAHA.114.011085</w:t>
      </w:r>
    </w:p>
    <w:p w14:paraId="497984CF"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14 </w:t>
      </w:r>
      <w:r w:rsidRPr="00C432E6">
        <w:rPr>
          <w:rFonts w:cs="Times New Roman"/>
          <w:noProof/>
          <w:szCs w:val="24"/>
        </w:rPr>
        <w:tab/>
        <w:t xml:space="preserve">Thygesen K, Alpert JS, Jaffe AS, </w:t>
      </w:r>
      <w:r w:rsidRPr="00C432E6">
        <w:rPr>
          <w:rFonts w:cs="Times New Roman"/>
          <w:i/>
          <w:iCs/>
          <w:noProof/>
          <w:szCs w:val="24"/>
        </w:rPr>
        <w:t>et al.</w:t>
      </w:r>
      <w:r w:rsidRPr="00C432E6">
        <w:rPr>
          <w:rFonts w:cs="Times New Roman"/>
          <w:noProof/>
          <w:szCs w:val="24"/>
        </w:rPr>
        <w:t xml:space="preserve"> Third universal definition of myocardial infarction. </w:t>
      </w:r>
      <w:r w:rsidRPr="00C432E6">
        <w:rPr>
          <w:rFonts w:cs="Times New Roman"/>
          <w:i/>
          <w:iCs/>
          <w:noProof/>
          <w:szCs w:val="24"/>
        </w:rPr>
        <w:t>Eur Heart J</w:t>
      </w:r>
      <w:r w:rsidRPr="00C432E6">
        <w:rPr>
          <w:rFonts w:cs="Times New Roman"/>
          <w:noProof/>
          <w:szCs w:val="24"/>
        </w:rPr>
        <w:t xml:space="preserve"> 2012;</w:t>
      </w:r>
      <w:r w:rsidRPr="00C432E6">
        <w:rPr>
          <w:rFonts w:cs="Times New Roman"/>
          <w:b/>
          <w:bCs/>
          <w:noProof/>
          <w:szCs w:val="24"/>
        </w:rPr>
        <w:t>33</w:t>
      </w:r>
      <w:r w:rsidRPr="00C432E6">
        <w:rPr>
          <w:rFonts w:cs="Times New Roman"/>
          <w:noProof/>
          <w:szCs w:val="24"/>
        </w:rPr>
        <w:t>:2551–67. doi:10.1093/eurheartj/ehs184</w:t>
      </w:r>
    </w:p>
    <w:p w14:paraId="55E8DEE0"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15 </w:t>
      </w:r>
      <w:r w:rsidRPr="00C432E6">
        <w:rPr>
          <w:rFonts w:cs="Times New Roman"/>
          <w:noProof/>
          <w:szCs w:val="24"/>
        </w:rPr>
        <w:tab/>
        <w:t xml:space="preserve">Ambrose JA, Almeida OD, Sharma SK, </w:t>
      </w:r>
      <w:r w:rsidRPr="00C432E6">
        <w:rPr>
          <w:rFonts w:cs="Times New Roman"/>
          <w:i/>
          <w:iCs/>
          <w:noProof/>
          <w:szCs w:val="24"/>
        </w:rPr>
        <w:t>et al.</w:t>
      </w:r>
      <w:r w:rsidRPr="00C432E6">
        <w:rPr>
          <w:rFonts w:cs="Times New Roman"/>
          <w:noProof/>
          <w:szCs w:val="24"/>
        </w:rPr>
        <w:t xml:space="preserve"> Angiographic evolution of intracoronary thrombus and dissection following percutaneous transluminal coronary angioplasty (the Thrombolysis and Angioplasty in Unstable Angina [TAUSA] trial). </w:t>
      </w:r>
      <w:r w:rsidRPr="00C432E6">
        <w:rPr>
          <w:rFonts w:cs="Times New Roman"/>
          <w:i/>
          <w:iCs/>
          <w:noProof/>
          <w:szCs w:val="24"/>
        </w:rPr>
        <w:t>Am J Cardiol</w:t>
      </w:r>
      <w:r w:rsidRPr="00C432E6">
        <w:rPr>
          <w:rFonts w:cs="Times New Roman"/>
          <w:noProof/>
          <w:szCs w:val="24"/>
        </w:rPr>
        <w:t xml:space="preserve"> </w:t>
      </w:r>
      <w:r w:rsidRPr="00C432E6">
        <w:rPr>
          <w:rFonts w:cs="Times New Roman"/>
          <w:noProof/>
          <w:szCs w:val="24"/>
        </w:rPr>
        <w:lastRenderedPageBreak/>
        <w:t>1997;</w:t>
      </w:r>
      <w:r w:rsidRPr="00C432E6">
        <w:rPr>
          <w:rFonts w:cs="Times New Roman"/>
          <w:b/>
          <w:bCs/>
          <w:noProof/>
          <w:szCs w:val="24"/>
        </w:rPr>
        <w:t>79</w:t>
      </w:r>
      <w:r w:rsidRPr="00C432E6">
        <w:rPr>
          <w:rFonts w:cs="Times New Roman"/>
          <w:noProof/>
          <w:szCs w:val="24"/>
        </w:rPr>
        <w:t>:559–63.</w:t>
      </w:r>
    </w:p>
    <w:p w14:paraId="61BB23DF" w14:textId="77777777" w:rsidR="00C432E6" w:rsidRPr="00C432E6" w:rsidRDefault="00C432E6" w:rsidP="00C432E6">
      <w:pPr>
        <w:widowControl w:val="0"/>
        <w:autoSpaceDE w:val="0"/>
        <w:autoSpaceDN w:val="0"/>
        <w:adjustRightInd w:val="0"/>
        <w:ind w:left="640" w:hanging="640"/>
        <w:rPr>
          <w:rFonts w:cs="Times New Roman"/>
          <w:noProof/>
          <w:szCs w:val="24"/>
        </w:rPr>
      </w:pPr>
      <w:r w:rsidRPr="00C432E6">
        <w:rPr>
          <w:rFonts w:cs="Times New Roman"/>
          <w:noProof/>
          <w:szCs w:val="24"/>
        </w:rPr>
        <w:t xml:space="preserve">16 </w:t>
      </w:r>
      <w:r w:rsidRPr="00C432E6">
        <w:rPr>
          <w:rFonts w:cs="Times New Roman"/>
          <w:noProof/>
          <w:szCs w:val="24"/>
        </w:rPr>
        <w:tab/>
        <w:t xml:space="preserve">Austin PC, Lee DS, Fine JP. Introduction to the Analysis of Survival Data in the Presence of Competing Risks. </w:t>
      </w:r>
      <w:r w:rsidRPr="00C432E6">
        <w:rPr>
          <w:rFonts w:cs="Times New Roman"/>
          <w:i/>
          <w:iCs/>
          <w:noProof/>
          <w:szCs w:val="24"/>
        </w:rPr>
        <w:t>Circulation</w:t>
      </w:r>
      <w:r w:rsidRPr="00C432E6">
        <w:rPr>
          <w:rFonts w:cs="Times New Roman"/>
          <w:noProof/>
          <w:szCs w:val="24"/>
        </w:rPr>
        <w:t xml:space="preserve"> 2016;</w:t>
      </w:r>
      <w:r w:rsidRPr="00C432E6">
        <w:rPr>
          <w:rFonts w:cs="Times New Roman"/>
          <w:b/>
          <w:bCs/>
          <w:noProof/>
          <w:szCs w:val="24"/>
        </w:rPr>
        <w:t>133</w:t>
      </w:r>
      <w:r w:rsidRPr="00C432E6">
        <w:rPr>
          <w:rFonts w:cs="Times New Roman"/>
          <w:noProof/>
          <w:szCs w:val="24"/>
        </w:rPr>
        <w:t>:601–9. doi:10.1161/CIRCULATIONAHA.115.017719</w:t>
      </w:r>
    </w:p>
    <w:p w14:paraId="635BFC73" w14:textId="77777777" w:rsidR="00C432E6" w:rsidRPr="00C432E6" w:rsidRDefault="00C432E6" w:rsidP="00C432E6">
      <w:pPr>
        <w:widowControl w:val="0"/>
        <w:autoSpaceDE w:val="0"/>
        <w:autoSpaceDN w:val="0"/>
        <w:adjustRightInd w:val="0"/>
        <w:ind w:left="640" w:hanging="640"/>
        <w:rPr>
          <w:rFonts w:cs="Times New Roman"/>
          <w:noProof/>
        </w:rPr>
      </w:pPr>
      <w:r w:rsidRPr="00C432E6">
        <w:rPr>
          <w:rFonts w:cs="Times New Roman"/>
          <w:noProof/>
          <w:szCs w:val="24"/>
        </w:rPr>
        <w:t xml:space="preserve">17 </w:t>
      </w:r>
      <w:r w:rsidRPr="00C432E6">
        <w:rPr>
          <w:rFonts w:cs="Times New Roman"/>
          <w:noProof/>
          <w:szCs w:val="24"/>
        </w:rPr>
        <w:tab/>
        <w:t xml:space="preserve">Boeddinghaus J, Twerenbold R, Nestelberger T, </w:t>
      </w:r>
      <w:r w:rsidRPr="00C432E6">
        <w:rPr>
          <w:rFonts w:cs="Times New Roman"/>
          <w:i/>
          <w:iCs/>
          <w:noProof/>
          <w:szCs w:val="24"/>
        </w:rPr>
        <w:t>et al.</w:t>
      </w:r>
      <w:r w:rsidRPr="00C432E6">
        <w:rPr>
          <w:rFonts w:cs="Times New Roman"/>
          <w:noProof/>
          <w:szCs w:val="24"/>
        </w:rPr>
        <w:t xml:space="preserve"> Clinical Validation of a Novel High-Sensitivity Cardiac Troponin I Assay for Early Diagnosis of Acute Myocardial Infarction. </w:t>
      </w:r>
      <w:r w:rsidRPr="00C432E6">
        <w:rPr>
          <w:rFonts w:cs="Times New Roman"/>
          <w:i/>
          <w:iCs/>
          <w:noProof/>
          <w:szCs w:val="24"/>
        </w:rPr>
        <w:t>Clin Chem</w:t>
      </w:r>
      <w:r w:rsidRPr="00C432E6">
        <w:rPr>
          <w:rFonts w:cs="Times New Roman"/>
          <w:noProof/>
          <w:szCs w:val="24"/>
        </w:rPr>
        <w:t xml:space="preserve"> 2018;</w:t>
      </w:r>
      <w:r w:rsidRPr="00C432E6">
        <w:rPr>
          <w:rFonts w:cs="Times New Roman"/>
          <w:b/>
          <w:bCs/>
          <w:noProof/>
          <w:szCs w:val="24"/>
        </w:rPr>
        <w:t>64</w:t>
      </w:r>
      <w:r w:rsidRPr="00C432E6">
        <w:rPr>
          <w:rFonts w:cs="Times New Roman"/>
          <w:noProof/>
          <w:szCs w:val="24"/>
        </w:rPr>
        <w:t>:1347–60. doi:10.1373/clinchem.2018.286906</w:t>
      </w:r>
    </w:p>
    <w:p w14:paraId="61A529E8" w14:textId="09AC7A2D" w:rsidR="00032331" w:rsidRPr="00032331" w:rsidRDefault="00032331" w:rsidP="00AF337A">
      <w:pPr>
        <w:widowControl w:val="0"/>
        <w:autoSpaceDE w:val="0"/>
        <w:autoSpaceDN w:val="0"/>
        <w:adjustRightInd w:val="0"/>
        <w:ind w:left="640" w:hanging="640"/>
      </w:pPr>
      <w:r w:rsidRPr="00630A82">
        <w:rPr>
          <w:rFonts w:asciiTheme="majorHAnsi" w:hAnsiTheme="majorHAnsi" w:cstheme="majorHAnsi"/>
          <w:b/>
          <w:szCs w:val="32"/>
        </w:rPr>
        <w:fldChar w:fldCharType="end"/>
      </w:r>
    </w:p>
    <w:sectPr w:rsidR="00032331" w:rsidRPr="00032331" w:rsidSect="0003233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F3B7" w14:textId="77777777" w:rsidR="00E95787" w:rsidRDefault="00E95787">
      <w:pPr>
        <w:spacing w:after="0" w:line="240" w:lineRule="auto"/>
      </w:pPr>
      <w:r>
        <w:separator/>
      </w:r>
    </w:p>
    <w:p w14:paraId="2C6D97BC" w14:textId="77777777" w:rsidR="00E95787" w:rsidRDefault="00E95787"/>
  </w:endnote>
  <w:endnote w:type="continuationSeparator" w:id="0">
    <w:p w14:paraId="03978B10" w14:textId="77777777" w:rsidR="00E95787" w:rsidRDefault="00E95787">
      <w:pPr>
        <w:spacing w:after="0" w:line="240" w:lineRule="auto"/>
      </w:pPr>
      <w:r>
        <w:continuationSeparator/>
      </w:r>
    </w:p>
    <w:p w14:paraId="67BE9A62" w14:textId="77777777" w:rsidR="00E95787" w:rsidRDefault="00E9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98C8" w14:textId="77777777" w:rsidR="000B0310" w:rsidRDefault="000B0310" w:rsidP="004B6BB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9636DA" w14:textId="77777777" w:rsidR="000B0310" w:rsidRDefault="000B0310" w:rsidP="004B6B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4CBC" w14:textId="409A78DA" w:rsidR="000B0310" w:rsidRPr="002F66A4" w:rsidRDefault="000B0310" w:rsidP="004B6BB0">
    <w:pPr>
      <w:pStyle w:val="Fuzeile"/>
      <w:framePr w:wrap="none" w:vAnchor="text" w:hAnchor="margin" w:xAlign="right" w:y="1"/>
      <w:rPr>
        <w:rStyle w:val="Seitenzahl"/>
        <w:rFonts w:cs="Times New Roman"/>
      </w:rPr>
    </w:pPr>
    <w:r w:rsidRPr="002F66A4">
      <w:rPr>
        <w:rStyle w:val="Seitenzahl"/>
        <w:rFonts w:cs="Times New Roman"/>
      </w:rPr>
      <w:fldChar w:fldCharType="begin"/>
    </w:r>
    <w:r w:rsidRPr="002F66A4">
      <w:rPr>
        <w:rStyle w:val="Seitenzahl"/>
        <w:rFonts w:cs="Times New Roman"/>
      </w:rPr>
      <w:instrText xml:space="preserve">PAGE  </w:instrText>
    </w:r>
    <w:r w:rsidRPr="002F66A4">
      <w:rPr>
        <w:rStyle w:val="Seitenzahl"/>
        <w:rFonts w:cs="Times New Roman"/>
      </w:rPr>
      <w:fldChar w:fldCharType="separate"/>
    </w:r>
    <w:r>
      <w:rPr>
        <w:rStyle w:val="Seitenzahl"/>
        <w:rFonts w:cs="Times New Roman"/>
        <w:noProof/>
      </w:rPr>
      <w:t>1</w:t>
    </w:r>
    <w:r w:rsidRPr="002F66A4">
      <w:rPr>
        <w:rStyle w:val="Seitenzahl"/>
        <w:rFonts w:cs="Times New Roman"/>
      </w:rPr>
      <w:fldChar w:fldCharType="end"/>
    </w:r>
  </w:p>
  <w:p w14:paraId="33BB8A03" w14:textId="77777777" w:rsidR="000B0310" w:rsidRPr="002F66A4" w:rsidRDefault="000B0310" w:rsidP="004B6BB0">
    <w:pPr>
      <w:pStyle w:val="Fuzeile"/>
      <w:ind w:right="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E30D" w14:textId="77777777" w:rsidR="000B0310" w:rsidRDefault="000B0310" w:rsidP="004B6BB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A74A9C" w14:textId="77777777" w:rsidR="000B0310" w:rsidRDefault="000B0310" w:rsidP="004B6BB0">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CAA8" w14:textId="070221C8" w:rsidR="000B0310" w:rsidRPr="002F66A4" w:rsidRDefault="000B0310" w:rsidP="004B6BB0">
    <w:pPr>
      <w:pStyle w:val="Fuzeile"/>
      <w:framePr w:wrap="none" w:vAnchor="text" w:hAnchor="margin" w:xAlign="right" w:y="1"/>
      <w:rPr>
        <w:rStyle w:val="Seitenzahl"/>
        <w:rFonts w:cs="Times New Roman"/>
      </w:rPr>
    </w:pPr>
    <w:r w:rsidRPr="002F66A4">
      <w:rPr>
        <w:rStyle w:val="Seitenzahl"/>
        <w:rFonts w:cs="Times New Roman"/>
      </w:rPr>
      <w:fldChar w:fldCharType="begin"/>
    </w:r>
    <w:r w:rsidRPr="002F66A4">
      <w:rPr>
        <w:rStyle w:val="Seitenzahl"/>
        <w:rFonts w:cs="Times New Roman"/>
      </w:rPr>
      <w:instrText xml:space="preserve">PAGE  </w:instrText>
    </w:r>
    <w:r w:rsidRPr="002F66A4">
      <w:rPr>
        <w:rStyle w:val="Seitenzahl"/>
        <w:rFonts w:cs="Times New Roman"/>
      </w:rPr>
      <w:fldChar w:fldCharType="separate"/>
    </w:r>
    <w:r>
      <w:rPr>
        <w:rStyle w:val="Seitenzahl"/>
        <w:rFonts w:cs="Times New Roman"/>
        <w:noProof/>
      </w:rPr>
      <w:t>9</w:t>
    </w:r>
    <w:r w:rsidRPr="002F66A4">
      <w:rPr>
        <w:rStyle w:val="Seitenzahl"/>
        <w:rFonts w:cs="Times New Roman"/>
      </w:rPr>
      <w:fldChar w:fldCharType="end"/>
    </w:r>
  </w:p>
  <w:p w14:paraId="00EF807A" w14:textId="77777777" w:rsidR="000B0310" w:rsidRPr="002F66A4" w:rsidRDefault="000B0310" w:rsidP="004B6BB0">
    <w:pPr>
      <w:pStyle w:val="Fuzeile"/>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93B5" w14:textId="77777777" w:rsidR="00E95787" w:rsidRDefault="00E95787">
      <w:pPr>
        <w:spacing w:after="0" w:line="240" w:lineRule="auto"/>
      </w:pPr>
      <w:r>
        <w:separator/>
      </w:r>
    </w:p>
    <w:p w14:paraId="4B625162" w14:textId="77777777" w:rsidR="00E95787" w:rsidRDefault="00E95787"/>
  </w:footnote>
  <w:footnote w:type="continuationSeparator" w:id="0">
    <w:p w14:paraId="3EF4A46A" w14:textId="77777777" w:rsidR="00E95787" w:rsidRDefault="00E95787">
      <w:pPr>
        <w:spacing w:after="0" w:line="240" w:lineRule="auto"/>
      </w:pPr>
      <w:r>
        <w:continuationSeparator/>
      </w:r>
    </w:p>
    <w:p w14:paraId="4A544568" w14:textId="77777777" w:rsidR="00E95787" w:rsidRDefault="00E957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1B0"/>
    <w:multiLevelType w:val="hybridMultilevel"/>
    <w:tmpl w:val="BFB89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B5DBE"/>
    <w:multiLevelType w:val="hybridMultilevel"/>
    <w:tmpl w:val="1F2C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ppepw2ewpz9ve50taxd9045xeetsp2dwwt&quot;&gt;My EndNote Library&lt;record-ids&gt;&lt;item&gt;2835&lt;/item&gt;&lt;item&gt;2840&lt;/item&gt;&lt;item&gt;4139&lt;/item&gt;&lt;item&gt;4141&lt;/item&gt;&lt;item&gt;4143&lt;/item&gt;&lt;item&gt;4425&lt;/item&gt;&lt;item&gt;4555&lt;/item&gt;&lt;item&gt;5152&lt;/item&gt;&lt;/record-ids&gt;&lt;/item&gt;&lt;/Libraries&gt;"/>
  </w:docVars>
  <w:rsids>
    <w:rsidRoot w:val="00391371"/>
    <w:rsid w:val="000138DD"/>
    <w:rsid w:val="000166E7"/>
    <w:rsid w:val="00022604"/>
    <w:rsid w:val="00032331"/>
    <w:rsid w:val="00032B47"/>
    <w:rsid w:val="000509C3"/>
    <w:rsid w:val="00053162"/>
    <w:rsid w:val="00060E4B"/>
    <w:rsid w:val="00061965"/>
    <w:rsid w:val="00063557"/>
    <w:rsid w:val="00065290"/>
    <w:rsid w:val="00067DF2"/>
    <w:rsid w:val="000770F5"/>
    <w:rsid w:val="00080D00"/>
    <w:rsid w:val="000A66D9"/>
    <w:rsid w:val="000B0310"/>
    <w:rsid w:val="000C4745"/>
    <w:rsid w:val="000D5DC2"/>
    <w:rsid w:val="000E4949"/>
    <w:rsid w:val="000E7512"/>
    <w:rsid w:val="000F1781"/>
    <w:rsid w:val="00106FBA"/>
    <w:rsid w:val="001207C9"/>
    <w:rsid w:val="00135466"/>
    <w:rsid w:val="00143100"/>
    <w:rsid w:val="00193777"/>
    <w:rsid w:val="00197C15"/>
    <w:rsid w:val="001A125E"/>
    <w:rsid w:val="001A225E"/>
    <w:rsid w:val="001A4A6F"/>
    <w:rsid w:val="001C1461"/>
    <w:rsid w:val="001D09F8"/>
    <w:rsid w:val="001E2D18"/>
    <w:rsid w:val="001E7797"/>
    <w:rsid w:val="001E7C94"/>
    <w:rsid w:val="00207AD9"/>
    <w:rsid w:val="00217536"/>
    <w:rsid w:val="0022002A"/>
    <w:rsid w:val="0023273E"/>
    <w:rsid w:val="00241D39"/>
    <w:rsid w:val="00250E1D"/>
    <w:rsid w:val="00251ACE"/>
    <w:rsid w:val="00253A45"/>
    <w:rsid w:val="0025412A"/>
    <w:rsid w:val="00256C6B"/>
    <w:rsid w:val="00262FE4"/>
    <w:rsid w:val="00287D4E"/>
    <w:rsid w:val="00295AF4"/>
    <w:rsid w:val="002A26F4"/>
    <w:rsid w:val="002A61FD"/>
    <w:rsid w:val="002A7378"/>
    <w:rsid w:val="002B35F6"/>
    <w:rsid w:val="002E6998"/>
    <w:rsid w:val="002F1E55"/>
    <w:rsid w:val="002F23F5"/>
    <w:rsid w:val="002F4F2A"/>
    <w:rsid w:val="00301E22"/>
    <w:rsid w:val="003070B4"/>
    <w:rsid w:val="00317E7A"/>
    <w:rsid w:val="00327C29"/>
    <w:rsid w:val="0033767A"/>
    <w:rsid w:val="00337AB8"/>
    <w:rsid w:val="00345A7E"/>
    <w:rsid w:val="00350FE0"/>
    <w:rsid w:val="00351BA6"/>
    <w:rsid w:val="00370447"/>
    <w:rsid w:val="00370D84"/>
    <w:rsid w:val="00371616"/>
    <w:rsid w:val="00380303"/>
    <w:rsid w:val="00391371"/>
    <w:rsid w:val="003A0676"/>
    <w:rsid w:val="003B4AC8"/>
    <w:rsid w:val="003B6D04"/>
    <w:rsid w:val="003E7ABE"/>
    <w:rsid w:val="003E7F20"/>
    <w:rsid w:val="003E7FE3"/>
    <w:rsid w:val="003F4FA3"/>
    <w:rsid w:val="003F5B0F"/>
    <w:rsid w:val="004000C4"/>
    <w:rsid w:val="00407A38"/>
    <w:rsid w:val="00411513"/>
    <w:rsid w:val="00416483"/>
    <w:rsid w:val="00424690"/>
    <w:rsid w:val="004248FE"/>
    <w:rsid w:val="004304EB"/>
    <w:rsid w:val="0043236C"/>
    <w:rsid w:val="004362F4"/>
    <w:rsid w:val="00450B68"/>
    <w:rsid w:val="00470414"/>
    <w:rsid w:val="00472C77"/>
    <w:rsid w:val="00474B8A"/>
    <w:rsid w:val="0048226B"/>
    <w:rsid w:val="004969CE"/>
    <w:rsid w:val="00497859"/>
    <w:rsid w:val="004A2491"/>
    <w:rsid w:val="004A2D4C"/>
    <w:rsid w:val="004B6BB0"/>
    <w:rsid w:val="004C1D29"/>
    <w:rsid w:val="004D13B0"/>
    <w:rsid w:val="004D1772"/>
    <w:rsid w:val="004D213A"/>
    <w:rsid w:val="004F02E1"/>
    <w:rsid w:val="004F2EE9"/>
    <w:rsid w:val="00516846"/>
    <w:rsid w:val="0053108C"/>
    <w:rsid w:val="00544183"/>
    <w:rsid w:val="005447FD"/>
    <w:rsid w:val="005602A3"/>
    <w:rsid w:val="00567051"/>
    <w:rsid w:val="005712B1"/>
    <w:rsid w:val="0057272C"/>
    <w:rsid w:val="00584561"/>
    <w:rsid w:val="00593DEC"/>
    <w:rsid w:val="0059452A"/>
    <w:rsid w:val="005D3189"/>
    <w:rsid w:val="005E0C4C"/>
    <w:rsid w:val="005F0C81"/>
    <w:rsid w:val="005F73F6"/>
    <w:rsid w:val="0061390F"/>
    <w:rsid w:val="00615CEC"/>
    <w:rsid w:val="006200DD"/>
    <w:rsid w:val="00622955"/>
    <w:rsid w:val="00622C4E"/>
    <w:rsid w:val="0062355E"/>
    <w:rsid w:val="0063038F"/>
    <w:rsid w:val="00630A82"/>
    <w:rsid w:val="0064674C"/>
    <w:rsid w:val="0065055A"/>
    <w:rsid w:val="00651761"/>
    <w:rsid w:val="00663378"/>
    <w:rsid w:val="00687F9D"/>
    <w:rsid w:val="006A1DE8"/>
    <w:rsid w:val="006B4CE0"/>
    <w:rsid w:val="006B663D"/>
    <w:rsid w:val="006C0A18"/>
    <w:rsid w:val="006D4715"/>
    <w:rsid w:val="006E0B74"/>
    <w:rsid w:val="006E0F1A"/>
    <w:rsid w:val="006F1F95"/>
    <w:rsid w:val="0070125D"/>
    <w:rsid w:val="00704C7C"/>
    <w:rsid w:val="00706E4C"/>
    <w:rsid w:val="007144AC"/>
    <w:rsid w:val="007165E1"/>
    <w:rsid w:val="00716AF0"/>
    <w:rsid w:val="0073120E"/>
    <w:rsid w:val="00737DA1"/>
    <w:rsid w:val="007407A4"/>
    <w:rsid w:val="00755C68"/>
    <w:rsid w:val="007603D4"/>
    <w:rsid w:val="0077583F"/>
    <w:rsid w:val="00781418"/>
    <w:rsid w:val="007857C6"/>
    <w:rsid w:val="007A2632"/>
    <w:rsid w:val="007A7A00"/>
    <w:rsid w:val="007B1AE1"/>
    <w:rsid w:val="007B605F"/>
    <w:rsid w:val="007C1804"/>
    <w:rsid w:val="007C1BAA"/>
    <w:rsid w:val="007E3EB1"/>
    <w:rsid w:val="008039C6"/>
    <w:rsid w:val="00813E9D"/>
    <w:rsid w:val="00820D7D"/>
    <w:rsid w:val="00835360"/>
    <w:rsid w:val="008422A0"/>
    <w:rsid w:val="008660D7"/>
    <w:rsid w:val="00873B9A"/>
    <w:rsid w:val="008752DE"/>
    <w:rsid w:val="00882F15"/>
    <w:rsid w:val="008A6DB5"/>
    <w:rsid w:val="008B0958"/>
    <w:rsid w:val="008B1BEB"/>
    <w:rsid w:val="008C33C9"/>
    <w:rsid w:val="008C60EA"/>
    <w:rsid w:val="008F0205"/>
    <w:rsid w:val="00924D72"/>
    <w:rsid w:val="009317BE"/>
    <w:rsid w:val="00936B69"/>
    <w:rsid w:val="009418A0"/>
    <w:rsid w:val="009518F2"/>
    <w:rsid w:val="009543E9"/>
    <w:rsid w:val="00970982"/>
    <w:rsid w:val="00983E8C"/>
    <w:rsid w:val="009A4223"/>
    <w:rsid w:val="009B1402"/>
    <w:rsid w:val="009B3612"/>
    <w:rsid w:val="009B4876"/>
    <w:rsid w:val="009C4BF9"/>
    <w:rsid w:val="009D54CF"/>
    <w:rsid w:val="009E28DE"/>
    <w:rsid w:val="009E2FA0"/>
    <w:rsid w:val="009E51C2"/>
    <w:rsid w:val="009F1ED6"/>
    <w:rsid w:val="00A04D03"/>
    <w:rsid w:val="00A06EE3"/>
    <w:rsid w:val="00A12D0F"/>
    <w:rsid w:val="00A1487E"/>
    <w:rsid w:val="00A21ADC"/>
    <w:rsid w:val="00A36A3B"/>
    <w:rsid w:val="00A60DEF"/>
    <w:rsid w:val="00A70617"/>
    <w:rsid w:val="00A82738"/>
    <w:rsid w:val="00A91C63"/>
    <w:rsid w:val="00AA2D68"/>
    <w:rsid w:val="00AB066E"/>
    <w:rsid w:val="00AF337A"/>
    <w:rsid w:val="00AF6A53"/>
    <w:rsid w:val="00B04262"/>
    <w:rsid w:val="00B05D96"/>
    <w:rsid w:val="00B11C06"/>
    <w:rsid w:val="00B12BE3"/>
    <w:rsid w:val="00B1665B"/>
    <w:rsid w:val="00B26E08"/>
    <w:rsid w:val="00B27320"/>
    <w:rsid w:val="00B35DA7"/>
    <w:rsid w:val="00B4370B"/>
    <w:rsid w:val="00B450F0"/>
    <w:rsid w:val="00B71F01"/>
    <w:rsid w:val="00B765EC"/>
    <w:rsid w:val="00BA17E5"/>
    <w:rsid w:val="00BA5A98"/>
    <w:rsid w:val="00BB2375"/>
    <w:rsid w:val="00BB24CF"/>
    <w:rsid w:val="00BB6580"/>
    <w:rsid w:val="00BD03F5"/>
    <w:rsid w:val="00C07939"/>
    <w:rsid w:val="00C108A3"/>
    <w:rsid w:val="00C17ED1"/>
    <w:rsid w:val="00C21DFC"/>
    <w:rsid w:val="00C419C0"/>
    <w:rsid w:val="00C4265D"/>
    <w:rsid w:val="00C42B70"/>
    <w:rsid w:val="00C432E6"/>
    <w:rsid w:val="00C512CE"/>
    <w:rsid w:val="00C54628"/>
    <w:rsid w:val="00C56CBD"/>
    <w:rsid w:val="00C6230E"/>
    <w:rsid w:val="00C7791F"/>
    <w:rsid w:val="00C83CD8"/>
    <w:rsid w:val="00CC0DD7"/>
    <w:rsid w:val="00CC3236"/>
    <w:rsid w:val="00CE2B59"/>
    <w:rsid w:val="00CE6001"/>
    <w:rsid w:val="00CF1E9A"/>
    <w:rsid w:val="00CF6D6A"/>
    <w:rsid w:val="00D04302"/>
    <w:rsid w:val="00D149E3"/>
    <w:rsid w:val="00D157E6"/>
    <w:rsid w:val="00D32D61"/>
    <w:rsid w:val="00D43D6A"/>
    <w:rsid w:val="00D45502"/>
    <w:rsid w:val="00D50EA5"/>
    <w:rsid w:val="00D67AC3"/>
    <w:rsid w:val="00D70F2D"/>
    <w:rsid w:val="00D840D7"/>
    <w:rsid w:val="00D84305"/>
    <w:rsid w:val="00D84673"/>
    <w:rsid w:val="00D95042"/>
    <w:rsid w:val="00DA0EE1"/>
    <w:rsid w:val="00DA36EC"/>
    <w:rsid w:val="00DB1AB3"/>
    <w:rsid w:val="00DB3E9B"/>
    <w:rsid w:val="00DC627B"/>
    <w:rsid w:val="00DC7363"/>
    <w:rsid w:val="00DE0231"/>
    <w:rsid w:val="00DE3013"/>
    <w:rsid w:val="00DE6716"/>
    <w:rsid w:val="00DF02A8"/>
    <w:rsid w:val="00DF5301"/>
    <w:rsid w:val="00DF537A"/>
    <w:rsid w:val="00E26ACA"/>
    <w:rsid w:val="00E27D99"/>
    <w:rsid w:val="00E33E38"/>
    <w:rsid w:val="00E34AC0"/>
    <w:rsid w:val="00E53D38"/>
    <w:rsid w:val="00E61EA4"/>
    <w:rsid w:val="00E66985"/>
    <w:rsid w:val="00E826AF"/>
    <w:rsid w:val="00E95787"/>
    <w:rsid w:val="00E9762B"/>
    <w:rsid w:val="00EA40D4"/>
    <w:rsid w:val="00EB674F"/>
    <w:rsid w:val="00EB6DCB"/>
    <w:rsid w:val="00EC1EC7"/>
    <w:rsid w:val="00EC5825"/>
    <w:rsid w:val="00EE6108"/>
    <w:rsid w:val="00EF01C3"/>
    <w:rsid w:val="00EF11A5"/>
    <w:rsid w:val="00F20935"/>
    <w:rsid w:val="00F25216"/>
    <w:rsid w:val="00F33F03"/>
    <w:rsid w:val="00F46C92"/>
    <w:rsid w:val="00F64F78"/>
    <w:rsid w:val="00F65919"/>
    <w:rsid w:val="00F751B2"/>
    <w:rsid w:val="00F8391A"/>
    <w:rsid w:val="00F913E8"/>
    <w:rsid w:val="00FA6A70"/>
    <w:rsid w:val="00FB7022"/>
    <w:rsid w:val="00FD1FC7"/>
    <w:rsid w:val="00FD32B7"/>
    <w:rsid w:val="00FF36D0"/>
    <w:rsid w:val="00FF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14230"/>
  <w14:defaultImageDpi w14:val="300"/>
  <w15:docId w15:val="{D04597CE-FEEF-43C2-8669-9A713E12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3100"/>
    <w:pPr>
      <w:spacing w:after="200" w:line="480" w:lineRule="auto"/>
      <w:jc w:val="both"/>
    </w:pPr>
    <w:rPr>
      <w:rFonts w:ascii="Times New Roman" w:hAnsi="Times New Roman"/>
      <w:szCs w:val="22"/>
      <w:lang w:val="en-GB"/>
    </w:rPr>
  </w:style>
  <w:style w:type="paragraph" w:styleId="berschrift1">
    <w:name w:val="heading 1"/>
    <w:basedOn w:val="Standard"/>
    <w:next w:val="Standard"/>
    <w:link w:val="berschrift1Zchn"/>
    <w:uiPriority w:val="9"/>
    <w:qFormat/>
    <w:rsid w:val="007A7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70D84"/>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70D84"/>
    <w:pPr>
      <w:keepNext/>
      <w:keepLines/>
      <w:spacing w:before="200" w:after="0" w:line="360" w:lineRule="auto"/>
      <w:outlineLvl w:val="2"/>
    </w:pPr>
    <w:rPr>
      <w:rFonts w:asciiTheme="majorHAnsi" w:eastAsiaTheme="majorEastAsia" w:hAnsiTheme="majorHAnsi" w:cstheme="majorBidi"/>
      <w:b/>
      <w:bCs/>
      <w:i/>
      <w:color w:val="4F81BD" w:themeColor="accent1"/>
    </w:rPr>
  </w:style>
  <w:style w:type="paragraph" w:styleId="berschrift4">
    <w:name w:val="heading 4"/>
    <w:basedOn w:val="Standard"/>
    <w:next w:val="Standard"/>
    <w:link w:val="berschrift4Zchn"/>
    <w:uiPriority w:val="9"/>
    <w:semiHidden/>
    <w:unhideWhenUsed/>
    <w:qFormat/>
    <w:rsid w:val="00370D84"/>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137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1371"/>
    <w:rPr>
      <w:rFonts w:ascii="Lucida Grande" w:hAnsi="Lucida Grande" w:cs="Lucida Grande"/>
      <w:sz w:val="18"/>
      <w:szCs w:val="18"/>
      <w:lang w:val="en-GB"/>
    </w:rPr>
  </w:style>
  <w:style w:type="paragraph" w:styleId="Kopfzeile">
    <w:name w:val="header"/>
    <w:basedOn w:val="Standard"/>
    <w:link w:val="KopfzeileZchn"/>
    <w:uiPriority w:val="99"/>
    <w:unhideWhenUsed/>
    <w:rsid w:val="00391371"/>
    <w:pPr>
      <w:tabs>
        <w:tab w:val="center" w:pos="4320"/>
        <w:tab w:val="right" w:pos="8640"/>
      </w:tabs>
      <w:spacing w:after="0" w:line="240" w:lineRule="auto"/>
    </w:pPr>
    <w:rPr>
      <w:szCs w:val="24"/>
    </w:rPr>
  </w:style>
  <w:style w:type="character" w:customStyle="1" w:styleId="KopfzeileZchn">
    <w:name w:val="Kopfzeile Zchn"/>
    <w:basedOn w:val="Absatz-Standardschriftart"/>
    <w:link w:val="Kopfzeile"/>
    <w:uiPriority w:val="99"/>
    <w:rsid w:val="00391371"/>
    <w:rPr>
      <w:lang w:val="en-GB"/>
    </w:rPr>
  </w:style>
  <w:style w:type="paragraph" w:styleId="Fuzeile">
    <w:name w:val="footer"/>
    <w:basedOn w:val="Standard"/>
    <w:link w:val="FuzeileZchn"/>
    <w:uiPriority w:val="99"/>
    <w:unhideWhenUsed/>
    <w:rsid w:val="00391371"/>
    <w:pPr>
      <w:tabs>
        <w:tab w:val="center" w:pos="4320"/>
        <w:tab w:val="right" w:pos="8640"/>
      </w:tabs>
      <w:spacing w:after="0" w:line="240" w:lineRule="auto"/>
    </w:pPr>
    <w:rPr>
      <w:szCs w:val="24"/>
    </w:rPr>
  </w:style>
  <w:style w:type="character" w:customStyle="1" w:styleId="FuzeileZchn">
    <w:name w:val="Fußzeile Zchn"/>
    <w:basedOn w:val="Absatz-Standardschriftart"/>
    <w:link w:val="Fuzeile"/>
    <w:uiPriority w:val="99"/>
    <w:rsid w:val="00391371"/>
    <w:rPr>
      <w:lang w:val="en-GB"/>
    </w:rPr>
  </w:style>
  <w:style w:type="character" w:customStyle="1" w:styleId="apple-style-span">
    <w:name w:val="apple-style-span"/>
    <w:basedOn w:val="Absatz-Standardschriftart"/>
    <w:rsid w:val="00391371"/>
  </w:style>
  <w:style w:type="character" w:styleId="Hyperlink">
    <w:name w:val="Hyperlink"/>
    <w:uiPriority w:val="99"/>
    <w:unhideWhenUsed/>
    <w:rsid w:val="00391371"/>
    <w:rPr>
      <w:color w:val="0000FF"/>
      <w:u w:val="single"/>
    </w:rPr>
  </w:style>
  <w:style w:type="character" w:styleId="Platzhaltertext">
    <w:name w:val="Placeholder Text"/>
    <w:basedOn w:val="Absatz-Standardschriftart"/>
    <w:uiPriority w:val="99"/>
    <w:semiHidden/>
    <w:rsid w:val="00391371"/>
    <w:rPr>
      <w:color w:val="808080"/>
    </w:rPr>
  </w:style>
  <w:style w:type="paragraph" w:customStyle="1" w:styleId="EndNoteBibliographyTitle">
    <w:name w:val="EndNote Bibliography Title"/>
    <w:basedOn w:val="Standard"/>
    <w:rsid w:val="00391371"/>
    <w:pPr>
      <w:spacing w:after="0"/>
      <w:jc w:val="center"/>
    </w:pPr>
    <w:rPr>
      <w:rFonts w:ascii="Cambria" w:hAnsi="Cambria"/>
      <w:lang w:val="en-US"/>
    </w:rPr>
  </w:style>
  <w:style w:type="paragraph" w:customStyle="1" w:styleId="EndNoteBibliography">
    <w:name w:val="EndNote Bibliography"/>
    <w:basedOn w:val="Standard"/>
    <w:rsid w:val="00391371"/>
    <w:pPr>
      <w:spacing w:line="240" w:lineRule="auto"/>
    </w:pPr>
    <w:rPr>
      <w:rFonts w:ascii="Cambria" w:hAnsi="Cambria"/>
      <w:lang w:val="en-US"/>
    </w:rPr>
  </w:style>
  <w:style w:type="character" w:styleId="Kommentarzeichen">
    <w:name w:val="annotation reference"/>
    <w:basedOn w:val="Absatz-Standardschriftart"/>
    <w:uiPriority w:val="99"/>
    <w:semiHidden/>
    <w:unhideWhenUsed/>
    <w:rsid w:val="00391371"/>
    <w:rPr>
      <w:sz w:val="18"/>
      <w:szCs w:val="18"/>
    </w:rPr>
  </w:style>
  <w:style w:type="paragraph" w:styleId="Kommentartext">
    <w:name w:val="annotation text"/>
    <w:basedOn w:val="Standard"/>
    <w:link w:val="KommentartextZchn"/>
    <w:uiPriority w:val="99"/>
    <w:unhideWhenUsed/>
    <w:rsid w:val="00391371"/>
    <w:pPr>
      <w:spacing w:line="240" w:lineRule="auto"/>
    </w:pPr>
    <w:rPr>
      <w:szCs w:val="24"/>
    </w:rPr>
  </w:style>
  <w:style w:type="character" w:customStyle="1" w:styleId="KommentartextZchn">
    <w:name w:val="Kommentartext Zchn"/>
    <w:basedOn w:val="Absatz-Standardschriftart"/>
    <w:link w:val="Kommentartext"/>
    <w:uiPriority w:val="99"/>
    <w:rsid w:val="00391371"/>
    <w:rPr>
      <w:lang w:val="en-GB"/>
    </w:rPr>
  </w:style>
  <w:style w:type="paragraph" w:styleId="Kommentarthema">
    <w:name w:val="annotation subject"/>
    <w:basedOn w:val="Kommentartext"/>
    <w:next w:val="Kommentartext"/>
    <w:link w:val="KommentarthemaZchn"/>
    <w:uiPriority w:val="99"/>
    <w:semiHidden/>
    <w:unhideWhenUsed/>
    <w:rsid w:val="00391371"/>
    <w:rPr>
      <w:b/>
      <w:bCs/>
      <w:sz w:val="20"/>
      <w:szCs w:val="20"/>
    </w:rPr>
  </w:style>
  <w:style w:type="character" w:customStyle="1" w:styleId="KommentarthemaZchn">
    <w:name w:val="Kommentarthema Zchn"/>
    <w:basedOn w:val="KommentartextZchn"/>
    <w:link w:val="Kommentarthema"/>
    <w:uiPriority w:val="99"/>
    <w:semiHidden/>
    <w:rsid w:val="00391371"/>
    <w:rPr>
      <w:b/>
      <w:bCs/>
      <w:sz w:val="20"/>
      <w:szCs w:val="20"/>
      <w:lang w:val="en-GB"/>
    </w:rPr>
  </w:style>
  <w:style w:type="character" w:styleId="Seitenzahl">
    <w:name w:val="page number"/>
    <w:basedOn w:val="Absatz-Standardschriftart"/>
    <w:uiPriority w:val="99"/>
    <w:semiHidden/>
    <w:unhideWhenUsed/>
    <w:rsid w:val="00391371"/>
  </w:style>
  <w:style w:type="table" w:styleId="HelleSchattierung">
    <w:name w:val="Light Shading"/>
    <w:basedOn w:val="NormaleTabelle"/>
    <w:uiPriority w:val="60"/>
    <w:rsid w:val="00391371"/>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kumentstruktur">
    <w:name w:val="Document Map"/>
    <w:basedOn w:val="Standard"/>
    <w:link w:val="DokumentstrukturZchn"/>
    <w:uiPriority w:val="99"/>
    <w:semiHidden/>
    <w:unhideWhenUsed/>
    <w:rsid w:val="00391371"/>
    <w:pPr>
      <w:spacing w:after="0"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391371"/>
    <w:rPr>
      <w:rFonts w:ascii="Lucida Grande" w:hAnsi="Lucida Grande" w:cs="Lucida Grande"/>
      <w:lang w:val="en-GB"/>
    </w:rPr>
  </w:style>
  <w:style w:type="character" w:styleId="Zeilennummer">
    <w:name w:val="line number"/>
    <w:basedOn w:val="Absatz-Standardschriftart"/>
    <w:uiPriority w:val="99"/>
    <w:semiHidden/>
    <w:unhideWhenUsed/>
    <w:rsid w:val="00391371"/>
  </w:style>
  <w:style w:type="paragraph" w:styleId="StandardWeb">
    <w:name w:val="Normal (Web)"/>
    <w:basedOn w:val="Standard"/>
    <w:uiPriority w:val="99"/>
    <w:unhideWhenUsed/>
    <w:rsid w:val="002E6998"/>
    <w:pPr>
      <w:spacing w:before="100" w:beforeAutospacing="1" w:after="100" w:afterAutospacing="1" w:line="240" w:lineRule="auto"/>
    </w:pPr>
    <w:rPr>
      <w:rFonts w:cs="Times New Roman"/>
      <w:szCs w:val="24"/>
      <w:lang w:val="de-CH" w:eastAsia="de-CH"/>
    </w:rPr>
  </w:style>
  <w:style w:type="paragraph" w:styleId="Listenabsatz">
    <w:name w:val="List Paragraph"/>
    <w:basedOn w:val="Standard"/>
    <w:uiPriority w:val="34"/>
    <w:qFormat/>
    <w:rsid w:val="00FB7022"/>
    <w:pPr>
      <w:ind w:left="720"/>
      <w:contextualSpacing/>
    </w:pPr>
  </w:style>
  <w:style w:type="character" w:customStyle="1" w:styleId="berschrift1Zchn">
    <w:name w:val="Überschrift 1 Zchn"/>
    <w:basedOn w:val="Absatz-Standardschriftart"/>
    <w:link w:val="berschrift1"/>
    <w:uiPriority w:val="9"/>
    <w:rsid w:val="007A7A00"/>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uiPriority w:val="9"/>
    <w:rsid w:val="00370D84"/>
    <w:rPr>
      <w:rFonts w:asciiTheme="majorHAnsi" w:eastAsiaTheme="majorEastAsia" w:hAnsiTheme="majorHAnsi" w:cstheme="majorBidi"/>
      <w:b/>
      <w:bCs/>
      <w:color w:val="4F81BD" w:themeColor="accent1"/>
      <w:sz w:val="26"/>
      <w:szCs w:val="26"/>
      <w:lang w:val="en-GB"/>
    </w:rPr>
  </w:style>
  <w:style w:type="paragraph" w:styleId="berarbeitung">
    <w:name w:val="Revision"/>
    <w:hidden/>
    <w:uiPriority w:val="99"/>
    <w:semiHidden/>
    <w:rsid w:val="009B4876"/>
    <w:rPr>
      <w:sz w:val="22"/>
      <w:szCs w:val="22"/>
      <w:lang w:val="en-GB"/>
    </w:rPr>
  </w:style>
  <w:style w:type="character" w:customStyle="1" w:styleId="berschrift3Zchn">
    <w:name w:val="Überschrift 3 Zchn"/>
    <w:basedOn w:val="Absatz-Standardschriftart"/>
    <w:link w:val="berschrift3"/>
    <w:uiPriority w:val="9"/>
    <w:rsid w:val="00370D84"/>
    <w:rPr>
      <w:rFonts w:asciiTheme="majorHAnsi" w:eastAsiaTheme="majorEastAsia" w:hAnsiTheme="majorHAnsi" w:cstheme="majorBidi"/>
      <w:b/>
      <w:bCs/>
      <w:i/>
      <w:color w:val="4F81BD" w:themeColor="accent1"/>
      <w:szCs w:val="22"/>
      <w:lang w:val="en-GB"/>
    </w:rPr>
  </w:style>
  <w:style w:type="character" w:customStyle="1" w:styleId="berschrift4Zchn">
    <w:name w:val="Überschrift 4 Zchn"/>
    <w:basedOn w:val="Absatz-Standardschriftart"/>
    <w:link w:val="berschrift4"/>
    <w:uiPriority w:val="9"/>
    <w:semiHidden/>
    <w:rsid w:val="00370D84"/>
    <w:rPr>
      <w:rFonts w:asciiTheme="majorHAnsi" w:eastAsiaTheme="majorEastAsia" w:hAnsiTheme="majorHAnsi" w:cstheme="majorBidi"/>
      <w:b/>
      <w:bCs/>
      <w:i/>
      <w:iCs/>
      <w:color w:val="4F81BD" w:themeColor="accent1"/>
      <w:szCs w:val="22"/>
      <w:lang w:val="en-GB"/>
    </w:rPr>
  </w:style>
  <w:style w:type="paragraph" w:styleId="Titel">
    <w:name w:val="Title"/>
    <w:basedOn w:val="Standard"/>
    <w:next w:val="Standard"/>
    <w:link w:val="TitelZchn"/>
    <w:uiPriority w:val="10"/>
    <w:qFormat/>
    <w:rsid w:val="00351B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51BA6"/>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5655">
      <w:bodyDiv w:val="1"/>
      <w:marLeft w:val="0"/>
      <w:marRight w:val="0"/>
      <w:marTop w:val="0"/>
      <w:marBottom w:val="0"/>
      <w:divBdr>
        <w:top w:val="none" w:sz="0" w:space="0" w:color="auto"/>
        <w:left w:val="none" w:sz="0" w:space="0" w:color="auto"/>
        <w:bottom w:val="none" w:sz="0" w:space="0" w:color="auto"/>
        <w:right w:val="none" w:sz="0" w:space="0" w:color="auto"/>
      </w:divBdr>
    </w:div>
    <w:div w:id="143470969">
      <w:bodyDiv w:val="1"/>
      <w:marLeft w:val="0"/>
      <w:marRight w:val="0"/>
      <w:marTop w:val="0"/>
      <w:marBottom w:val="0"/>
      <w:divBdr>
        <w:top w:val="none" w:sz="0" w:space="0" w:color="auto"/>
        <w:left w:val="none" w:sz="0" w:space="0" w:color="auto"/>
        <w:bottom w:val="none" w:sz="0" w:space="0" w:color="auto"/>
        <w:right w:val="none" w:sz="0" w:space="0" w:color="auto"/>
      </w:divBdr>
    </w:div>
    <w:div w:id="184485426">
      <w:bodyDiv w:val="1"/>
      <w:marLeft w:val="0"/>
      <w:marRight w:val="0"/>
      <w:marTop w:val="0"/>
      <w:marBottom w:val="0"/>
      <w:divBdr>
        <w:top w:val="none" w:sz="0" w:space="0" w:color="auto"/>
        <w:left w:val="none" w:sz="0" w:space="0" w:color="auto"/>
        <w:bottom w:val="none" w:sz="0" w:space="0" w:color="auto"/>
        <w:right w:val="none" w:sz="0" w:space="0" w:color="auto"/>
      </w:divBdr>
    </w:div>
    <w:div w:id="193926205">
      <w:bodyDiv w:val="1"/>
      <w:marLeft w:val="0"/>
      <w:marRight w:val="0"/>
      <w:marTop w:val="0"/>
      <w:marBottom w:val="0"/>
      <w:divBdr>
        <w:top w:val="none" w:sz="0" w:space="0" w:color="auto"/>
        <w:left w:val="none" w:sz="0" w:space="0" w:color="auto"/>
        <w:bottom w:val="none" w:sz="0" w:space="0" w:color="auto"/>
        <w:right w:val="none" w:sz="0" w:space="0" w:color="auto"/>
      </w:divBdr>
    </w:div>
    <w:div w:id="257566903">
      <w:bodyDiv w:val="1"/>
      <w:marLeft w:val="0"/>
      <w:marRight w:val="0"/>
      <w:marTop w:val="0"/>
      <w:marBottom w:val="0"/>
      <w:divBdr>
        <w:top w:val="none" w:sz="0" w:space="0" w:color="auto"/>
        <w:left w:val="none" w:sz="0" w:space="0" w:color="auto"/>
        <w:bottom w:val="none" w:sz="0" w:space="0" w:color="auto"/>
        <w:right w:val="none" w:sz="0" w:space="0" w:color="auto"/>
      </w:divBdr>
    </w:div>
    <w:div w:id="274485853">
      <w:bodyDiv w:val="1"/>
      <w:marLeft w:val="0"/>
      <w:marRight w:val="0"/>
      <w:marTop w:val="0"/>
      <w:marBottom w:val="0"/>
      <w:divBdr>
        <w:top w:val="none" w:sz="0" w:space="0" w:color="auto"/>
        <w:left w:val="none" w:sz="0" w:space="0" w:color="auto"/>
        <w:bottom w:val="none" w:sz="0" w:space="0" w:color="auto"/>
        <w:right w:val="none" w:sz="0" w:space="0" w:color="auto"/>
      </w:divBdr>
    </w:div>
    <w:div w:id="636766490">
      <w:bodyDiv w:val="1"/>
      <w:marLeft w:val="0"/>
      <w:marRight w:val="0"/>
      <w:marTop w:val="0"/>
      <w:marBottom w:val="0"/>
      <w:divBdr>
        <w:top w:val="none" w:sz="0" w:space="0" w:color="auto"/>
        <w:left w:val="none" w:sz="0" w:space="0" w:color="auto"/>
        <w:bottom w:val="none" w:sz="0" w:space="0" w:color="auto"/>
        <w:right w:val="none" w:sz="0" w:space="0" w:color="auto"/>
      </w:divBdr>
    </w:div>
    <w:div w:id="715348927">
      <w:bodyDiv w:val="1"/>
      <w:marLeft w:val="0"/>
      <w:marRight w:val="0"/>
      <w:marTop w:val="0"/>
      <w:marBottom w:val="0"/>
      <w:divBdr>
        <w:top w:val="none" w:sz="0" w:space="0" w:color="auto"/>
        <w:left w:val="none" w:sz="0" w:space="0" w:color="auto"/>
        <w:bottom w:val="none" w:sz="0" w:space="0" w:color="auto"/>
        <w:right w:val="none" w:sz="0" w:space="0" w:color="auto"/>
      </w:divBdr>
    </w:div>
    <w:div w:id="716398965">
      <w:bodyDiv w:val="1"/>
      <w:marLeft w:val="0"/>
      <w:marRight w:val="0"/>
      <w:marTop w:val="0"/>
      <w:marBottom w:val="0"/>
      <w:divBdr>
        <w:top w:val="none" w:sz="0" w:space="0" w:color="auto"/>
        <w:left w:val="none" w:sz="0" w:space="0" w:color="auto"/>
        <w:bottom w:val="none" w:sz="0" w:space="0" w:color="auto"/>
        <w:right w:val="none" w:sz="0" w:space="0" w:color="auto"/>
      </w:divBdr>
    </w:div>
    <w:div w:id="724524170">
      <w:bodyDiv w:val="1"/>
      <w:marLeft w:val="0"/>
      <w:marRight w:val="0"/>
      <w:marTop w:val="0"/>
      <w:marBottom w:val="0"/>
      <w:divBdr>
        <w:top w:val="none" w:sz="0" w:space="0" w:color="auto"/>
        <w:left w:val="none" w:sz="0" w:space="0" w:color="auto"/>
        <w:bottom w:val="none" w:sz="0" w:space="0" w:color="auto"/>
        <w:right w:val="none" w:sz="0" w:space="0" w:color="auto"/>
      </w:divBdr>
    </w:div>
    <w:div w:id="806749583">
      <w:bodyDiv w:val="1"/>
      <w:marLeft w:val="0"/>
      <w:marRight w:val="0"/>
      <w:marTop w:val="0"/>
      <w:marBottom w:val="0"/>
      <w:divBdr>
        <w:top w:val="none" w:sz="0" w:space="0" w:color="auto"/>
        <w:left w:val="none" w:sz="0" w:space="0" w:color="auto"/>
        <w:bottom w:val="none" w:sz="0" w:space="0" w:color="auto"/>
        <w:right w:val="none" w:sz="0" w:space="0" w:color="auto"/>
      </w:divBdr>
    </w:div>
    <w:div w:id="932400058">
      <w:bodyDiv w:val="1"/>
      <w:marLeft w:val="0"/>
      <w:marRight w:val="0"/>
      <w:marTop w:val="0"/>
      <w:marBottom w:val="0"/>
      <w:divBdr>
        <w:top w:val="none" w:sz="0" w:space="0" w:color="auto"/>
        <w:left w:val="none" w:sz="0" w:space="0" w:color="auto"/>
        <w:bottom w:val="none" w:sz="0" w:space="0" w:color="auto"/>
        <w:right w:val="none" w:sz="0" w:space="0" w:color="auto"/>
      </w:divBdr>
    </w:div>
    <w:div w:id="957830840">
      <w:bodyDiv w:val="1"/>
      <w:marLeft w:val="0"/>
      <w:marRight w:val="0"/>
      <w:marTop w:val="0"/>
      <w:marBottom w:val="0"/>
      <w:divBdr>
        <w:top w:val="none" w:sz="0" w:space="0" w:color="auto"/>
        <w:left w:val="none" w:sz="0" w:space="0" w:color="auto"/>
        <w:bottom w:val="none" w:sz="0" w:space="0" w:color="auto"/>
        <w:right w:val="none" w:sz="0" w:space="0" w:color="auto"/>
      </w:divBdr>
    </w:div>
    <w:div w:id="1051154528">
      <w:bodyDiv w:val="1"/>
      <w:marLeft w:val="0"/>
      <w:marRight w:val="0"/>
      <w:marTop w:val="0"/>
      <w:marBottom w:val="0"/>
      <w:divBdr>
        <w:top w:val="none" w:sz="0" w:space="0" w:color="auto"/>
        <w:left w:val="none" w:sz="0" w:space="0" w:color="auto"/>
        <w:bottom w:val="none" w:sz="0" w:space="0" w:color="auto"/>
        <w:right w:val="none" w:sz="0" w:space="0" w:color="auto"/>
      </w:divBdr>
    </w:div>
    <w:div w:id="1067455443">
      <w:bodyDiv w:val="1"/>
      <w:marLeft w:val="0"/>
      <w:marRight w:val="0"/>
      <w:marTop w:val="0"/>
      <w:marBottom w:val="0"/>
      <w:divBdr>
        <w:top w:val="none" w:sz="0" w:space="0" w:color="auto"/>
        <w:left w:val="none" w:sz="0" w:space="0" w:color="auto"/>
        <w:bottom w:val="none" w:sz="0" w:space="0" w:color="auto"/>
        <w:right w:val="none" w:sz="0" w:space="0" w:color="auto"/>
      </w:divBdr>
      <w:divsChild>
        <w:div w:id="1383946311">
          <w:marLeft w:val="0"/>
          <w:marRight w:val="0"/>
          <w:marTop w:val="0"/>
          <w:marBottom w:val="0"/>
          <w:divBdr>
            <w:top w:val="none" w:sz="0" w:space="0" w:color="auto"/>
            <w:left w:val="none" w:sz="0" w:space="0" w:color="auto"/>
            <w:bottom w:val="none" w:sz="0" w:space="0" w:color="auto"/>
            <w:right w:val="none" w:sz="0" w:space="0" w:color="auto"/>
          </w:divBdr>
        </w:div>
      </w:divsChild>
    </w:div>
    <w:div w:id="1082406790">
      <w:bodyDiv w:val="1"/>
      <w:marLeft w:val="0"/>
      <w:marRight w:val="0"/>
      <w:marTop w:val="0"/>
      <w:marBottom w:val="0"/>
      <w:divBdr>
        <w:top w:val="none" w:sz="0" w:space="0" w:color="auto"/>
        <w:left w:val="none" w:sz="0" w:space="0" w:color="auto"/>
        <w:bottom w:val="none" w:sz="0" w:space="0" w:color="auto"/>
        <w:right w:val="none" w:sz="0" w:space="0" w:color="auto"/>
      </w:divBdr>
    </w:div>
    <w:div w:id="1099061005">
      <w:bodyDiv w:val="1"/>
      <w:marLeft w:val="0"/>
      <w:marRight w:val="0"/>
      <w:marTop w:val="0"/>
      <w:marBottom w:val="0"/>
      <w:divBdr>
        <w:top w:val="none" w:sz="0" w:space="0" w:color="auto"/>
        <w:left w:val="none" w:sz="0" w:space="0" w:color="auto"/>
        <w:bottom w:val="none" w:sz="0" w:space="0" w:color="auto"/>
        <w:right w:val="none" w:sz="0" w:space="0" w:color="auto"/>
      </w:divBdr>
    </w:div>
    <w:div w:id="1228030477">
      <w:bodyDiv w:val="1"/>
      <w:marLeft w:val="0"/>
      <w:marRight w:val="0"/>
      <w:marTop w:val="0"/>
      <w:marBottom w:val="0"/>
      <w:divBdr>
        <w:top w:val="none" w:sz="0" w:space="0" w:color="auto"/>
        <w:left w:val="none" w:sz="0" w:space="0" w:color="auto"/>
        <w:bottom w:val="none" w:sz="0" w:space="0" w:color="auto"/>
        <w:right w:val="none" w:sz="0" w:space="0" w:color="auto"/>
      </w:divBdr>
    </w:div>
    <w:div w:id="1345016839">
      <w:bodyDiv w:val="1"/>
      <w:marLeft w:val="0"/>
      <w:marRight w:val="0"/>
      <w:marTop w:val="0"/>
      <w:marBottom w:val="0"/>
      <w:divBdr>
        <w:top w:val="none" w:sz="0" w:space="0" w:color="auto"/>
        <w:left w:val="none" w:sz="0" w:space="0" w:color="auto"/>
        <w:bottom w:val="none" w:sz="0" w:space="0" w:color="auto"/>
        <w:right w:val="none" w:sz="0" w:space="0" w:color="auto"/>
      </w:divBdr>
    </w:div>
    <w:div w:id="1530800194">
      <w:bodyDiv w:val="1"/>
      <w:marLeft w:val="0"/>
      <w:marRight w:val="0"/>
      <w:marTop w:val="0"/>
      <w:marBottom w:val="0"/>
      <w:divBdr>
        <w:top w:val="none" w:sz="0" w:space="0" w:color="auto"/>
        <w:left w:val="none" w:sz="0" w:space="0" w:color="auto"/>
        <w:bottom w:val="none" w:sz="0" w:space="0" w:color="auto"/>
        <w:right w:val="none" w:sz="0" w:space="0" w:color="auto"/>
      </w:divBdr>
    </w:div>
    <w:div w:id="1595822657">
      <w:bodyDiv w:val="1"/>
      <w:marLeft w:val="0"/>
      <w:marRight w:val="0"/>
      <w:marTop w:val="0"/>
      <w:marBottom w:val="0"/>
      <w:divBdr>
        <w:top w:val="none" w:sz="0" w:space="0" w:color="auto"/>
        <w:left w:val="none" w:sz="0" w:space="0" w:color="auto"/>
        <w:bottom w:val="none" w:sz="0" w:space="0" w:color="auto"/>
        <w:right w:val="none" w:sz="0" w:space="0" w:color="auto"/>
      </w:divBdr>
    </w:div>
    <w:div w:id="1666057502">
      <w:bodyDiv w:val="1"/>
      <w:marLeft w:val="0"/>
      <w:marRight w:val="0"/>
      <w:marTop w:val="0"/>
      <w:marBottom w:val="0"/>
      <w:divBdr>
        <w:top w:val="none" w:sz="0" w:space="0" w:color="auto"/>
        <w:left w:val="none" w:sz="0" w:space="0" w:color="auto"/>
        <w:bottom w:val="none" w:sz="0" w:space="0" w:color="auto"/>
        <w:right w:val="none" w:sz="0" w:space="0" w:color="auto"/>
      </w:divBdr>
    </w:div>
    <w:div w:id="1866165944">
      <w:bodyDiv w:val="1"/>
      <w:marLeft w:val="0"/>
      <w:marRight w:val="0"/>
      <w:marTop w:val="0"/>
      <w:marBottom w:val="0"/>
      <w:divBdr>
        <w:top w:val="none" w:sz="0" w:space="0" w:color="auto"/>
        <w:left w:val="none" w:sz="0" w:space="0" w:color="auto"/>
        <w:bottom w:val="none" w:sz="0" w:space="0" w:color="auto"/>
        <w:right w:val="none" w:sz="0" w:space="0" w:color="auto"/>
      </w:divBdr>
    </w:div>
    <w:div w:id="1929390415">
      <w:bodyDiv w:val="1"/>
      <w:marLeft w:val="0"/>
      <w:marRight w:val="0"/>
      <w:marTop w:val="0"/>
      <w:marBottom w:val="0"/>
      <w:divBdr>
        <w:top w:val="none" w:sz="0" w:space="0" w:color="auto"/>
        <w:left w:val="none" w:sz="0" w:space="0" w:color="auto"/>
        <w:bottom w:val="none" w:sz="0" w:space="0" w:color="auto"/>
        <w:right w:val="none" w:sz="0" w:space="0" w:color="auto"/>
      </w:divBdr>
    </w:div>
    <w:div w:id="2059237561">
      <w:bodyDiv w:val="1"/>
      <w:marLeft w:val="0"/>
      <w:marRight w:val="0"/>
      <w:marTop w:val="0"/>
      <w:marBottom w:val="0"/>
      <w:divBdr>
        <w:top w:val="none" w:sz="0" w:space="0" w:color="auto"/>
        <w:left w:val="none" w:sz="0" w:space="0" w:color="auto"/>
        <w:bottom w:val="none" w:sz="0" w:space="0" w:color="auto"/>
        <w:right w:val="none" w:sz="0" w:space="0" w:color="auto"/>
      </w:divBdr>
    </w:div>
    <w:div w:id="208078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490D-D58F-4B3F-A13B-CCBA2442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12045</Words>
  <Characters>75890</Characters>
  <Application>Microsoft Office Word</Application>
  <DocSecurity>0</DocSecurity>
  <Lines>632</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USB</Company>
  <LinksUpToDate>false</LinksUpToDate>
  <CharactersWithSpaces>87760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Anoop</dc:creator>
  <cp:lastModifiedBy>Christian Puelacher</cp:lastModifiedBy>
  <cp:revision>2</cp:revision>
  <dcterms:created xsi:type="dcterms:W3CDTF">2019-03-02T11:00:00Z</dcterms:created>
  <dcterms:modified xsi:type="dcterms:W3CDTF">2019-03-02T11:00:00Z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http://www.zotero.org/styles/heart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http://www.zotero.org/styles/circulation</vt:lpwstr>
  </property>
  <property fmtid="{D5CDD505-2E9C-101B-9397-08002B2CF9AE}" pid="11" name="Mendeley Recent Style Name 3_1">
    <vt:lpwstr>Circulation</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http://www.zotero.org/styles/heart</vt:lpwstr>
  </property>
  <property fmtid="{D5CDD505-2E9C-101B-9397-08002B2CF9AE}" pid="15" name="Mendeley Recent Style Name 5_1">
    <vt:lpwstr>Heart</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http://www.zotero.org/styles/jama</vt:lpwstr>
  </property>
  <property fmtid="{D5CDD505-2E9C-101B-9397-08002B2CF9AE}" pid="19" name="Mendeley Recent Style Name 7_1">
    <vt:lpwstr>JAMA (The Journal of the American Medical Association)</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Unique User Id_1">
    <vt:lpwstr>81a7db9b-819d-3753-8a2f-ef255fe79f13</vt:lpwstr>
  </property>
</Properties>
</file>