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EDB" w:rsidRDefault="008E7EDB" w:rsidP="008E7EDB">
      <w:pPr>
        <w:pStyle w:val="Heading1"/>
        <w:rPr>
          <w:sz w:val="24"/>
          <w:szCs w:val="24"/>
        </w:rPr>
      </w:pPr>
      <w:r>
        <w:t xml:space="preserve">Fixed-dose combination </w:t>
      </w:r>
      <w:proofErr w:type="spellStart"/>
      <w:r>
        <w:t>antihypertensives</w:t>
      </w:r>
      <w:proofErr w:type="spellEnd"/>
      <w:r>
        <w:t xml:space="preserve"> and risk of </w:t>
      </w:r>
      <w:r w:rsidR="006433EB">
        <w:t>medication errors</w:t>
      </w:r>
      <w:bookmarkStart w:id="0" w:name="_GoBack"/>
      <w:bookmarkEnd w:id="0"/>
      <w:r w:rsidRPr="001D54D5">
        <w:rPr>
          <w:sz w:val="24"/>
          <w:szCs w:val="24"/>
        </w:rPr>
        <w:t xml:space="preserve"> </w:t>
      </w:r>
    </w:p>
    <w:p w:rsidR="008E7EDB" w:rsidRDefault="008E7EDB" w:rsidP="008E7EDB"/>
    <w:p w:rsidR="008E7EDB" w:rsidRPr="008F2640" w:rsidRDefault="008E7EDB" w:rsidP="008E7EDB">
      <w:pPr>
        <w:rPr>
          <w:vertAlign w:val="superscript"/>
        </w:rPr>
      </w:pPr>
      <w:r>
        <w:t>Frank Moriarty</w:t>
      </w:r>
      <w:r>
        <w:rPr>
          <w:vertAlign w:val="superscript"/>
        </w:rPr>
        <w:t>1</w:t>
      </w:r>
    </w:p>
    <w:p w:rsidR="008E7EDB" w:rsidRPr="008F2640" w:rsidRDefault="008E7EDB" w:rsidP="008E7EDB">
      <w:pPr>
        <w:rPr>
          <w:vertAlign w:val="superscript"/>
        </w:rPr>
      </w:pPr>
      <w:r>
        <w:t>Kathleen Bennett</w:t>
      </w:r>
      <w:r>
        <w:rPr>
          <w:vertAlign w:val="superscript"/>
        </w:rPr>
        <w:t>2</w:t>
      </w:r>
    </w:p>
    <w:p w:rsidR="008E7EDB" w:rsidRPr="008F2640" w:rsidRDefault="008E7EDB" w:rsidP="008E7EDB">
      <w:pPr>
        <w:rPr>
          <w:vertAlign w:val="superscript"/>
        </w:rPr>
      </w:pPr>
      <w:r>
        <w:t>Tom Fahey</w:t>
      </w:r>
      <w:r>
        <w:rPr>
          <w:vertAlign w:val="superscript"/>
        </w:rPr>
        <w:t>1</w:t>
      </w:r>
    </w:p>
    <w:p w:rsidR="008E7EDB" w:rsidRDefault="008E7EDB" w:rsidP="008E7EDB"/>
    <w:p w:rsidR="008E7EDB" w:rsidRDefault="008E7EDB" w:rsidP="008E7EDB">
      <w:r>
        <w:rPr>
          <w:vertAlign w:val="superscript"/>
        </w:rPr>
        <w:t>1</w:t>
      </w:r>
      <w:r>
        <w:t xml:space="preserve"> </w:t>
      </w:r>
      <w:r w:rsidRPr="008F2640">
        <w:t>HRB Centre for Primary Care Research, Royal College of Surg</w:t>
      </w:r>
      <w:r>
        <w:t>eons in Ireland, 123 Stephen’s G</w:t>
      </w:r>
      <w:r w:rsidRPr="008F2640">
        <w:t>reen, Dublin 2</w:t>
      </w:r>
    </w:p>
    <w:p w:rsidR="008E7EDB" w:rsidRDefault="008E7EDB" w:rsidP="008E7EDB">
      <w:r>
        <w:rPr>
          <w:vertAlign w:val="superscript"/>
        </w:rPr>
        <w:t>2</w:t>
      </w:r>
      <w:r>
        <w:t xml:space="preserve"> </w:t>
      </w:r>
      <w:proofErr w:type="gramStart"/>
      <w:r>
        <w:t>Division</w:t>
      </w:r>
      <w:proofErr w:type="gramEnd"/>
      <w:r>
        <w:t xml:space="preserve"> of Population Health Sciences</w:t>
      </w:r>
      <w:r w:rsidRPr="008F2640">
        <w:t>, Royal College of Surg</w:t>
      </w:r>
      <w:r>
        <w:t>eons in Ireland, Beaux Lane House</w:t>
      </w:r>
      <w:r w:rsidRPr="008F2640">
        <w:t>, Dublin 2</w:t>
      </w:r>
    </w:p>
    <w:p w:rsidR="008E7EDB" w:rsidRDefault="008E7EDB">
      <w:pPr>
        <w:rPr>
          <w:rFonts w:ascii="Calibri" w:eastAsia="Calibri" w:hAnsi="Calibri" w:cs="Times New Roman"/>
          <w:b/>
          <w:bCs/>
          <w:szCs w:val="18"/>
        </w:rPr>
      </w:pPr>
      <w:r>
        <w:rPr>
          <w:rFonts w:ascii="Calibri" w:eastAsia="Calibri" w:hAnsi="Calibri" w:cs="Times New Roman"/>
          <w:b/>
          <w:bCs/>
          <w:szCs w:val="18"/>
        </w:rPr>
        <w:br w:type="page"/>
      </w:r>
    </w:p>
    <w:p w:rsidR="00FF376F" w:rsidRPr="00FF376F" w:rsidRDefault="00FF376F" w:rsidP="00FF376F">
      <w:pPr>
        <w:keepNext/>
        <w:spacing w:after="200" w:line="240" w:lineRule="auto"/>
        <w:rPr>
          <w:rFonts w:ascii="Calibri" w:eastAsia="Calibri" w:hAnsi="Calibri" w:cs="Times New Roman"/>
          <w:b/>
          <w:bCs/>
          <w:szCs w:val="18"/>
        </w:rPr>
      </w:pPr>
      <w:r w:rsidRPr="00FF376F">
        <w:rPr>
          <w:rFonts w:ascii="Calibri" w:eastAsia="Calibri" w:hAnsi="Calibri" w:cs="Times New Roman"/>
          <w:b/>
          <w:bCs/>
          <w:szCs w:val="18"/>
        </w:rPr>
        <w:lastRenderedPageBreak/>
        <w:t xml:space="preserve">Table S1 Antihypertensive fixed-dose combinations with equivalent free components available during </w:t>
      </w:r>
      <w:r w:rsidR="0092632B" w:rsidRPr="0092632B">
        <w:rPr>
          <w:rFonts w:ascii="Calibri" w:eastAsia="Calibri" w:hAnsi="Calibri" w:cs="Times New Roman"/>
          <w:b/>
          <w:bCs/>
          <w:szCs w:val="18"/>
        </w:rPr>
        <w:t>2015 and included in this study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5"/>
        <w:gridCol w:w="4621"/>
      </w:tblGrid>
      <w:tr w:rsidR="00FF376F" w:rsidRPr="00FF376F" w:rsidTr="00C46F84">
        <w:tc>
          <w:tcPr>
            <w:tcW w:w="3345" w:type="dxa"/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Antihypertensive class</w:t>
            </w:r>
          </w:p>
        </w:tc>
        <w:tc>
          <w:tcPr>
            <w:tcW w:w="4621" w:type="dxa"/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Available fixed-dose combinations</w:t>
            </w:r>
          </w:p>
        </w:tc>
      </w:tr>
      <w:tr w:rsidR="00FF376F" w:rsidRPr="00FF376F" w:rsidTr="00C46F84">
        <w:tc>
          <w:tcPr>
            <w:tcW w:w="3345" w:type="dxa"/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ACE inhibitors</w:t>
            </w:r>
          </w:p>
        </w:tc>
        <w:tc>
          <w:tcPr>
            <w:tcW w:w="4621" w:type="dxa"/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proofErr w:type="spellStart"/>
            <w:r w:rsidRPr="00FF376F">
              <w:rPr>
                <w:rFonts w:ascii="Calibri" w:eastAsia="Calibri" w:hAnsi="Calibri" w:cs="Times New Roman"/>
              </w:rPr>
              <w:t>Enalapril</w:t>
            </w:r>
            <w:proofErr w:type="spellEnd"/>
            <w:r w:rsidRPr="00FF376F">
              <w:rPr>
                <w:rFonts w:ascii="Calibri" w:eastAsia="Calibri" w:hAnsi="Calibri" w:cs="Times New Roman"/>
              </w:rPr>
              <w:t xml:space="preserve">, </w:t>
            </w:r>
            <w:proofErr w:type="spellStart"/>
            <w:r w:rsidRPr="00FF376F">
              <w:rPr>
                <w:rFonts w:ascii="Calibri" w:eastAsia="Calibri" w:hAnsi="Calibri" w:cs="Times New Roman"/>
              </w:rPr>
              <w:t>lercanidipine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Perindopril, amlodipine</w:t>
            </w: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 xml:space="preserve">Perindopril, </w:t>
            </w:r>
            <w:proofErr w:type="spellStart"/>
            <w:r w:rsidRPr="00FF376F">
              <w:rPr>
                <w:rFonts w:ascii="Calibri" w:eastAsia="Calibri" w:hAnsi="Calibri" w:cs="Times New Roman"/>
              </w:rPr>
              <w:t>indapamide</w:t>
            </w:r>
            <w:proofErr w:type="spellEnd"/>
            <w:r w:rsidRPr="00FF376F">
              <w:rPr>
                <w:rFonts w:ascii="Calibri" w:eastAsia="Calibri" w:hAnsi="Calibri" w:cs="Times New Roman"/>
              </w:rPr>
              <w:t>, amlodipine</w:t>
            </w: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 xml:space="preserve">Ramipril, </w:t>
            </w:r>
            <w:proofErr w:type="spellStart"/>
            <w:r w:rsidRPr="00FF376F">
              <w:rPr>
                <w:rFonts w:ascii="Calibri" w:eastAsia="Calibri" w:hAnsi="Calibri" w:cs="Times New Roman"/>
              </w:rPr>
              <w:t>felodipine</w:t>
            </w:r>
            <w:proofErr w:type="spellEnd"/>
          </w:p>
        </w:tc>
      </w:tr>
      <w:tr w:rsidR="00FF376F" w:rsidRPr="00FF376F" w:rsidTr="00C46F84">
        <w:tc>
          <w:tcPr>
            <w:tcW w:w="3345" w:type="dxa"/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Angiotensin receptor II blockers</w:t>
            </w:r>
          </w:p>
        </w:tc>
        <w:tc>
          <w:tcPr>
            <w:tcW w:w="4621" w:type="dxa"/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Valsartan, amlodipine</w:t>
            </w: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Valsartan, hydrochlorothiazide, amlodipine</w:t>
            </w: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proofErr w:type="spellStart"/>
            <w:r w:rsidRPr="00FF376F">
              <w:rPr>
                <w:rFonts w:ascii="Calibri" w:eastAsia="Calibri" w:hAnsi="Calibri" w:cs="Times New Roman"/>
              </w:rPr>
              <w:t>Olmesartan</w:t>
            </w:r>
            <w:proofErr w:type="spellEnd"/>
            <w:r w:rsidRPr="00FF376F">
              <w:rPr>
                <w:rFonts w:ascii="Calibri" w:eastAsia="Calibri" w:hAnsi="Calibri" w:cs="Times New Roman"/>
              </w:rPr>
              <w:t>, amlodipine</w:t>
            </w: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proofErr w:type="spellStart"/>
            <w:r w:rsidRPr="00FF376F">
              <w:rPr>
                <w:rFonts w:ascii="Calibri" w:eastAsia="Calibri" w:hAnsi="Calibri" w:cs="Times New Roman"/>
              </w:rPr>
              <w:t>Olmesartan</w:t>
            </w:r>
            <w:proofErr w:type="spellEnd"/>
            <w:r w:rsidRPr="00FF376F">
              <w:rPr>
                <w:rFonts w:ascii="Calibri" w:eastAsia="Calibri" w:hAnsi="Calibri" w:cs="Times New Roman"/>
              </w:rPr>
              <w:t>, hydrochlorothiazide, amlodipine</w:t>
            </w: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proofErr w:type="spellStart"/>
            <w:r w:rsidRPr="00FF376F">
              <w:rPr>
                <w:rFonts w:ascii="Calibri" w:eastAsia="Calibri" w:hAnsi="Calibri" w:cs="Times New Roman"/>
              </w:rPr>
              <w:t>Telmisartan</w:t>
            </w:r>
            <w:proofErr w:type="spellEnd"/>
            <w:r w:rsidRPr="00FF376F">
              <w:rPr>
                <w:rFonts w:ascii="Calibri" w:eastAsia="Calibri" w:hAnsi="Calibri" w:cs="Times New Roman"/>
              </w:rPr>
              <w:t>, amlodipine</w:t>
            </w:r>
          </w:p>
        </w:tc>
      </w:tr>
      <w:tr w:rsidR="00FF376F" w:rsidRPr="00FF376F" w:rsidTr="00C46F84">
        <w:tc>
          <w:tcPr>
            <w:tcW w:w="3345" w:type="dxa"/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Beta blockers</w:t>
            </w:r>
          </w:p>
        </w:tc>
        <w:tc>
          <w:tcPr>
            <w:tcW w:w="4621" w:type="dxa"/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 xml:space="preserve">Atenolol, </w:t>
            </w:r>
            <w:proofErr w:type="spellStart"/>
            <w:r w:rsidRPr="00FF376F">
              <w:rPr>
                <w:rFonts w:ascii="Calibri" w:eastAsia="Calibri" w:hAnsi="Calibri" w:cs="Times New Roman"/>
              </w:rPr>
              <w:t>nifedipine</w:t>
            </w:r>
            <w:proofErr w:type="spellEnd"/>
          </w:p>
        </w:tc>
      </w:tr>
    </w:tbl>
    <w:p w:rsidR="00FF376F" w:rsidRPr="00FF376F" w:rsidRDefault="00FF376F" w:rsidP="00FF376F">
      <w:pPr>
        <w:spacing w:after="200" w:line="276" w:lineRule="auto"/>
        <w:rPr>
          <w:rFonts w:ascii="Calibri" w:eastAsia="Calibri" w:hAnsi="Calibri" w:cs="Times New Roman"/>
          <w:b/>
          <w:bCs/>
          <w:szCs w:val="18"/>
        </w:rPr>
      </w:pPr>
    </w:p>
    <w:p w:rsidR="00FF376F" w:rsidRPr="00FF376F" w:rsidRDefault="00FF376F" w:rsidP="00FF376F">
      <w:pPr>
        <w:spacing w:after="200" w:line="276" w:lineRule="auto"/>
        <w:rPr>
          <w:rFonts w:ascii="Calibri" w:eastAsia="Calibri" w:hAnsi="Calibri" w:cs="Times New Roman"/>
          <w:b/>
          <w:bCs/>
          <w:szCs w:val="18"/>
        </w:rPr>
      </w:pPr>
      <w:bookmarkStart w:id="1" w:name="_Ref489005006"/>
      <w:r w:rsidRPr="00FF376F">
        <w:rPr>
          <w:rFonts w:ascii="Calibri" w:eastAsia="Calibri" w:hAnsi="Calibri" w:cs="Times New Roman"/>
        </w:rPr>
        <w:br w:type="page"/>
      </w:r>
    </w:p>
    <w:p w:rsidR="00FF376F" w:rsidRPr="00FF376F" w:rsidRDefault="00FF376F" w:rsidP="00FF376F">
      <w:pPr>
        <w:keepNext/>
        <w:spacing w:after="200" w:line="240" w:lineRule="auto"/>
        <w:rPr>
          <w:rFonts w:ascii="Calibri" w:eastAsia="Calibri" w:hAnsi="Calibri" w:cs="Times New Roman"/>
          <w:b/>
          <w:bCs/>
          <w:szCs w:val="18"/>
        </w:rPr>
      </w:pPr>
      <w:r w:rsidRPr="00FF376F">
        <w:rPr>
          <w:rFonts w:ascii="Calibri" w:eastAsia="Calibri" w:hAnsi="Calibri" w:cs="Times New Roman"/>
          <w:b/>
          <w:bCs/>
          <w:szCs w:val="18"/>
        </w:rPr>
        <w:lastRenderedPageBreak/>
        <w:t xml:space="preserve">Table </w:t>
      </w:r>
      <w:bookmarkEnd w:id="1"/>
      <w:r w:rsidRPr="00FF376F">
        <w:rPr>
          <w:rFonts w:ascii="Calibri" w:eastAsia="Calibri" w:hAnsi="Calibri" w:cs="Times New Roman"/>
          <w:b/>
          <w:bCs/>
          <w:szCs w:val="18"/>
        </w:rPr>
        <w:t>S2 Class-specific drug-drug interactions (DDI) considered as potentially serious by the British National Formulary relating to antihypertensive drug classes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05"/>
      </w:tblGrid>
      <w:tr w:rsidR="00FF376F" w:rsidRPr="00FF376F" w:rsidTr="00C46F84">
        <w:tc>
          <w:tcPr>
            <w:tcW w:w="3080" w:type="dxa"/>
          </w:tcPr>
          <w:p w:rsidR="00FF376F" w:rsidRPr="00FF376F" w:rsidRDefault="00FF376F" w:rsidP="00FF376F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081" w:type="dxa"/>
          </w:tcPr>
          <w:p w:rsidR="00FF376F" w:rsidRPr="00FF376F" w:rsidRDefault="00FF376F" w:rsidP="00FF376F">
            <w:pPr>
              <w:rPr>
                <w:rFonts w:ascii="Calibri" w:eastAsia="Calibri" w:hAnsi="Calibri" w:cs="Calibri"/>
                <w:b/>
                <w:bCs/>
              </w:rPr>
            </w:pPr>
            <w:r w:rsidRPr="00FF376F">
              <w:rPr>
                <w:rFonts w:ascii="Calibri" w:eastAsia="Calibri" w:hAnsi="Calibri" w:cs="Calibri"/>
                <w:b/>
                <w:bCs/>
              </w:rPr>
              <w:t>Interacting drugs/drug classes</w:t>
            </w:r>
          </w:p>
        </w:tc>
        <w:tc>
          <w:tcPr>
            <w:tcW w:w="3005" w:type="dxa"/>
          </w:tcPr>
          <w:p w:rsidR="00FF376F" w:rsidRPr="00FF376F" w:rsidRDefault="00FF376F" w:rsidP="00FF376F">
            <w:pPr>
              <w:rPr>
                <w:rFonts w:ascii="Calibri" w:eastAsia="Calibri" w:hAnsi="Calibri" w:cs="Calibri"/>
                <w:b/>
                <w:bCs/>
              </w:rPr>
            </w:pPr>
            <w:r w:rsidRPr="00FF376F">
              <w:rPr>
                <w:rFonts w:ascii="Calibri" w:eastAsia="Calibri" w:hAnsi="Calibri" w:cs="Calibri"/>
                <w:b/>
                <w:bCs/>
              </w:rPr>
              <w:t>Hypotension-only interactions</w:t>
            </w:r>
          </w:p>
        </w:tc>
      </w:tr>
      <w:tr w:rsidR="00FF376F" w:rsidRPr="00FF376F" w:rsidTr="00C46F84">
        <w:tc>
          <w:tcPr>
            <w:tcW w:w="3080" w:type="dxa"/>
          </w:tcPr>
          <w:p w:rsidR="00FF376F" w:rsidRPr="00FF376F" w:rsidRDefault="00FF376F" w:rsidP="00FF376F">
            <w:pPr>
              <w:rPr>
                <w:rFonts w:ascii="Calibri" w:eastAsia="Calibri" w:hAnsi="Calibri" w:cs="Calibri"/>
                <w:b/>
                <w:bCs/>
              </w:rPr>
            </w:pPr>
            <w:r w:rsidRPr="00FF376F">
              <w:rPr>
                <w:rFonts w:ascii="Calibri" w:eastAsia="Calibri" w:hAnsi="Calibri" w:cs="Calibri"/>
                <w:b/>
                <w:bCs/>
              </w:rPr>
              <w:t>ACE inhibitors</w:t>
            </w:r>
          </w:p>
        </w:tc>
        <w:tc>
          <w:tcPr>
            <w:tcW w:w="3081" w:type="dxa"/>
          </w:tcPr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proofErr w:type="spellStart"/>
            <w:r w:rsidRPr="00FF376F">
              <w:rPr>
                <w:rFonts w:ascii="Calibri" w:eastAsia="Calibri" w:hAnsi="Calibri" w:cs="Calibri"/>
                <w:bCs/>
              </w:rPr>
              <w:t>Aliskiren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proofErr w:type="spellStart"/>
            <w:r w:rsidRPr="00FF376F">
              <w:rPr>
                <w:rFonts w:ascii="Calibri" w:eastAsia="Calibri" w:hAnsi="Calibri" w:cs="Calibri"/>
                <w:bCs/>
              </w:rPr>
              <w:t>Amiloride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 xml:space="preserve">Angiotensin II receptor blockers </w:t>
            </w:r>
            <w:proofErr w:type="spellStart"/>
            <w:r w:rsidRPr="00FF376F">
              <w:rPr>
                <w:rFonts w:ascii="Calibri" w:eastAsia="Calibri" w:hAnsi="Calibri" w:cs="Calibri"/>
                <w:bCs/>
              </w:rPr>
              <w:t>Ciclosporin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proofErr w:type="spellStart"/>
            <w:r w:rsidRPr="00FF376F">
              <w:rPr>
                <w:rFonts w:ascii="Calibri" w:eastAsia="Calibri" w:hAnsi="Calibri" w:cs="Calibri"/>
                <w:bCs/>
              </w:rPr>
              <w:t>Eplerenone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proofErr w:type="spellStart"/>
            <w:r w:rsidRPr="00FF376F">
              <w:rPr>
                <w:rFonts w:ascii="Calibri" w:eastAsia="Calibri" w:hAnsi="Calibri" w:cs="Calibri"/>
                <w:bCs/>
              </w:rPr>
              <w:t>Everolimus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Lithium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 xml:space="preserve">Potassium </w:t>
            </w:r>
            <w:proofErr w:type="spellStart"/>
            <w:r w:rsidRPr="00FF376F">
              <w:rPr>
                <w:rFonts w:ascii="Calibri" w:eastAsia="Calibri" w:hAnsi="Calibri" w:cs="Calibri"/>
                <w:bCs/>
              </w:rPr>
              <w:t>canrenoate</w:t>
            </w:r>
            <w:proofErr w:type="spellEnd"/>
            <w:r w:rsidRPr="00FF376F">
              <w:rPr>
                <w:rFonts w:ascii="Calibri" w:eastAsia="Calibri" w:hAnsi="Calibri" w:cs="Calibri"/>
                <w:bCs/>
              </w:rPr>
              <w:t>/salts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proofErr w:type="spellStart"/>
            <w:r w:rsidRPr="00FF376F">
              <w:rPr>
                <w:rFonts w:ascii="Calibri" w:eastAsia="Calibri" w:hAnsi="Calibri" w:cs="Calibri"/>
                <w:bCs/>
              </w:rPr>
              <w:t>Sacubitril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proofErr w:type="spellStart"/>
            <w:r w:rsidRPr="00FF376F">
              <w:rPr>
                <w:rFonts w:ascii="Calibri" w:eastAsia="Calibri" w:hAnsi="Calibri" w:cs="Calibri"/>
                <w:bCs/>
              </w:rPr>
              <w:t>Spironolcatone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Triamterene</w:t>
            </w:r>
          </w:p>
        </w:tc>
        <w:tc>
          <w:tcPr>
            <w:tcW w:w="3005" w:type="dxa"/>
          </w:tcPr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Diuretics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FF376F" w:rsidRPr="00FF376F" w:rsidTr="00C46F84">
        <w:tc>
          <w:tcPr>
            <w:tcW w:w="3080" w:type="dxa"/>
          </w:tcPr>
          <w:p w:rsidR="00FF376F" w:rsidRPr="00FF376F" w:rsidRDefault="00FF376F" w:rsidP="00FF376F">
            <w:pPr>
              <w:rPr>
                <w:rFonts w:ascii="Calibri" w:eastAsia="Calibri" w:hAnsi="Calibri" w:cs="Calibri"/>
                <w:b/>
                <w:bCs/>
              </w:rPr>
            </w:pPr>
            <w:r w:rsidRPr="00FF376F">
              <w:rPr>
                <w:rFonts w:ascii="Calibri" w:eastAsia="Calibri" w:hAnsi="Calibri" w:cs="Calibri"/>
                <w:b/>
                <w:bCs/>
              </w:rPr>
              <w:t>Angiotensin II receptor blockers</w:t>
            </w:r>
          </w:p>
        </w:tc>
        <w:tc>
          <w:tcPr>
            <w:tcW w:w="3081" w:type="dxa"/>
          </w:tcPr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ACE inhibitors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proofErr w:type="spellStart"/>
            <w:r w:rsidRPr="00FF376F">
              <w:rPr>
                <w:rFonts w:ascii="Calibri" w:eastAsia="Calibri" w:hAnsi="Calibri" w:cs="Calibri"/>
                <w:bCs/>
              </w:rPr>
              <w:t>Alsikiren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proofErr w:type="spellStart"/>
            <w:r w:rsidRPr="00FF376F">
              <w:rPr>
                <w:rFonts w:ascii="Calibri" w:eastAsia="Calibri" w:hAnsi="Calibri" w:cs="Calibri"/>
                <w:bCs/>
              </w:rPr>
              <w:t>Amiloride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proofErr w:type="spellStart"/>
            <w:r w:rsidRPr="00FF376F">
              <w:rPr>
                <w:rFonts w:ascii="Calibri" w:eastAsia="Calibri" w:hAnsi="Calibri" w:cs="Calibri"/>
                <w:bCs/>
              </w:rPr>
              <w:t>Ciclosporin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proofErr w:type="spellStart"/>
            <w:r w:rsidRPr="00FF376F">
              <w:rPr>
                <w:rFonts w:ascii="Calibri" w:eastAsia="Calibri" w:hAnsi="Calibri" w:cs="Calibri"/>
                <w:bCs/>
              </w:rPr>
              <w:t>Eplerenone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Lithium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 xml:space="preserve">Potassium </w:t>
            </w:r>
            <w:proofErr w:type="spellStart"/>
            <w:r w:rsidRPr="00FF376F">
              <w:rPr>
                <w:rFonts w:ascii="Calibri" w:eastAsia="Calibri" w:hAnsi="Calibri" w:cs="Calibri"/>
                <w:bCs/>
              </w:rPr>
              <w:t>canrenoate</w:t>
            </w:r>
            <w:proofErr w:type="spellEnd"/>
            <w:r w:rsidRPr="00FF376F">
              <w:rPr>
                <w:rFonts w:ascii="Calibri" w:eastAsia="Calibri" w:hAnsi="Calibri" w:cs="Calibri"/>
                <w:bCs/>
              </w:rPr>
              <w:t>/salts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proofErr w:type="spellStart"/>
            <w:r w:rsidRPr="00FF376F">
              <w:rPr>
                <w:rFonts w:ascii="Calibri" w:eastAsia="Calibri" w:hAnsi="Calibri" w:cs="Calibri"/>
                <w:bCs/>
              </w:rPr>
              <w:t>Spironolcatone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Triamterene</w:t>
            </w:r>
          </w:p>
        </w:tc>
        <w:tc>
          <w:tcPr>
            <w:tcW w:w="3005" w:type="dxa"/>
          </w:tcPr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Diuretics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FF376F" w:rsidRPr="00FF376F" w:rsidTr="00C46F84">
        <w:tc>
          <w:tcPr>
            <w:tcW w:w="3080" w:type="dxa"/>
          </w:tcPr>
          <w:p w:rsidR="00FF376F" w:rsidRPr="00FF376F" w:rsidRDefault="00FF376F" w:rsidP="00FF376F">
            <w:pPr>
              <w:rPr>
                <w:rFonts w:ascii="Calibri" w:eastAsia="Calibri" w:hAnsi="Calibri" w:cs="Calibri"/>
                <w:b/>
                <w:bCs/>
              </w:rPr>
            </w:pPr>
            <w:r w:rsidRPr="00FF376F">
              <w:rPr>
                <w:rFonts w:ascii="Calibri" w:eastAsia="Calibri" w:hAnsi="Calibri" w:cs="Calibri"/>
                <w:b/>
                <w:bCs/>
              </w:rPr>
              <w:t>Beta blockers</w:t>
            </w:r>
          </w:p>
        </w:tc>
        <w:tc>
          <w:tcPr>
            <w:tcW w:w="3081" w:type="dxa"/>
          </w:tcPr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Adrenaline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Amiodarone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Anti-</w:t>
            </w:r>
            <w:proofErr w:type="spellStart"/>
            <w:r w:rsidRPr="00FF376F">
              <w:rPr>
                <w:rFonts w:ascii="Calibri" w:eastAsia="Calibri" w:hAnsi="Calibri" w:cs="Calibri"/>
                <w:bCs/>
              </w:rPr>
              <w:t>arrhythmics</w:t>
            </w:r>
            <w:proofErr w:type="spellEnd"/>
            <w:r w:rsidRPr="00FF376F">
              <w:rPr>
                <w:rFonts w:ascii="Calibri" w:eastAsia="Calibri" w:hAnsi="Calibri" w:cs="Calibri"/>
                <w:bCs/>
              </w:rPr>
              <w:t xml:space="preserve"> (including flecainide)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Clonidine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Diltiazem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proofErr w:type="spellStart"/>
            <w:r w:rsidRPr="00FF376F">
              <w:rPr>
                <w:rFonts w:ascii="Calibri" w:eastAsia="Calibri" w:hAnsi="Calibri" w:cs="Calibri"/>
                <w:bCs/>
              </w:rPr>
              <w:t>Dobutamine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proofErr w:type="spellStart"/>
            <w:r w:rsidRPr="00FF376F">
              <w:rPr>
                <w:rFonts w:ascii="Calibri" w:eastAsia="Calibri" w:hAnsi="Calibri" w:cs="Calibri"/>
                <w:bCs/>
              </w:rPr>
              <w:t>Fingolimod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Noradrenaline</w:t>
            </w:r>
          </w:p>
        </w:tc>
        <w:tc>
          <w:tcPr>
            <w:tcW w:w="3005" w:type="dxa"/>
          </w:tcPr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Adrenaline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Alpha blockers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proofErr w:type="spellStart"/>
            <w:r w:rsidRPr="00FF376F">
              <w:rPr>
                <w:rFonts w:ascii="Calibri" w:eastAsia="Calibri" w:hAnsi="Calibri" w:cs="Calibri"/>
                <w:bCs/>
              </w:rPr>
              <w:t>Moxisylyte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proofErr w:type="spellStart"/>
            <w:r w:rsidRPr="00FF376F">
              <w:rPr>
                <w:rFonts w:ascii="Calibri" w:eastAsia="Calibri" w:hAnsi="Calibri" w:cs="Calibri"/>
                <w:bCs/>
              </w:rPr>
              <w:t>Nifedipine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Noradrenaline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Verapamil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FF376F" w:rsidRPr="00FF376F" w:rsidTr="00C46F84">
        <w:tc>
          <w:tcPr>
            <w:tcW w:w="3080" w:type="dxa"/>
          </w:tcPr>
          <w:p w:rsidR="00FF376F" w:rsidRPr="00FF376F" w:rsidRDefault="00FF376F" w:rsidP="00FF376F">
            <w:pPr>
              <w:rPr>
                <w:rFonts w:ascii="Calibri" w:eastAsia="Calibri" w:hAnsi="Calibri" w:cs="Calibri"/>
                <w:b/>
                <w:bCs/>
              </w:rPr>
            </w:pPr>
            <w:r w:rsidRPr="00FF376F">
              <w:rPr>
                <w:rFonts w:ascii="Calibri" w:eastAsia="Calibri" w:hAnsi="Calibri" w:cs="Calibri"/>
                <w:b/>
                <w:bCs/>
              </w:rPr>
              <w:t>Calcium channel blockers</w:t>
            </w:r>
          </w:p>
        </w:tc>
        <w:tc>
          <w:tcPr>
            <w:tcW w:w="3081" w:type="dxa"/>
          </w:tcPr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Aminophylline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Clarithromycin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Erythromycin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Phenobarbital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Primidone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Ritonavir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Theophylline</w:t>
            </w:r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vertAlign w:val="superscript"/>
              </w:rPr>
            </w:pPr>
            <w:proofErr w:type="spellStart"/>
            <w:r w:rsidRPr="00FF376F">
              <w:rPr>
                <w:rFonts w:ascii="Calibri" w:eastAsia="Calibri" w:hAnsi="Calibri" w:cs="Calibri"/>
              </w:rPr>
              <w:t>Simvastatin</w:t>
            </w:r>
            <w:r w:rsidRPr="00FF376F">
              <w:rPr>
                <w:rFonts w:ascii="Calibri" w:eastAsia="Calibri" w:hAnsi="Calibri" w:cs="Calibri"/>
                <w:vertAlign w:val="superscript"/>
              </w:rPr>
              <w:t>a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proofErr w:type="spellStart"/>
            <w:r w:rsidRPr="00FF376F">
              <w:rPr>
                <w:rFonts w:ascii="Calibri" w:eastAsia="Calibri" w:hAnsi="Calibri" w:cs="Times New Roman"/>
              </w:rPr>
              <w:t>Itraconazole</w:t>
            </w:r>
            <w:r w:rsidRPr="00FF376F">
              <w:rPr>
                <w:rFonts w:ascii="Calibri" w:eastAsia="Calibri" w:hAnsi="Calibri" w:cs="Times New Roman"/>
                <w:vertAlign w:val="superscript"/>
              </w:rPr>
              <w:t>b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  <w:vertAlign w:val="superscript"/>
              </w:rPr>
            </w:pPr>
            <w:proofErr w:type="spellStart"/>
            <w:r w:rsidRPr="00FF376F">
              <w:rPr>
                <w:rFonts w:ascii="Calibri" w:eastAsia="Calibri" w:hAnsi="Calibri" w:cs="Times New Roman"/>
              </w:rPr>
              <w:t>Ketoconazole</w:t>
            </w:r>
            <w:r w:rsidRPr="00FF376F">
              <w:rPr>
                <w:rFonts w:ascii="Calibri" w:eastAsia="Calibri" w:hAnsi="Calibri" w:cs="Times New Roman"/>
                <w:vertAlign w:val="superscript"/>
              </w:rPr>
              <w:t>b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proofErr w:type="spellStart"/>
            <w:r w:rsidRPr="00FF376F">
              <w:rPr>
                <w:rFonts w:ascii="Calibri" w:eastAsia="Calibri" w:hAnsi="Calibri" w:cs="Times New Roman"/>
              </w:rPr>
              <w:t>Ciclosporin</w:t>
            </w:r>
            <w:r w:rsidRPr="00FF376F">
              <w:rPr>
                <w:rFonts w:ascii="Calibri" w:eastAsia="Calibri" w:hAnsi="Calibri" w:cs="Times New Roman"/>
                <w:vertAlign w:val="superscript"/>
              </w:rPr>
              <w:t>c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  <w:vertAlign w:val="superscript"/>
              </w:rPr>
            </w:pPr>
            <w:proofErr w:type="spellStart"/>
            <w:r w:rsidRPr="00FF376F">
              <w:rPr>
                <w:rFonts w:ascii="Calibri" w:eastAsia="Calibri" w:hAnsi="Calibri" w:cs="Times New Roman"/>
              </w:rPr>
              <w:t>Digoxin</w:t>
            </w:r>
            <w:r w:rsidRPr="00FF376F">
              <w:rPr>
                <w:rFonts w:ascii="Calibri" w:eastAsia="Calibri" w:hAnsi="Calibri" w:cs="Times New Roman"/>
                <w:vertAlign w:val="superscript"/>
              </w:rPr>
              <w:t>c,d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 xml:space="preserve">Beta </w:t>
            </w:r>
            <w:proofErr w:type="spellStart"/>
            <w:r w:rsidRPr="00FF376F">
              <w:rPr>
                <w:rFonts w:ascii="Calibri" w:eastAsia="Calibri" w:hAnsi="Calibri" w:cs="Times New Roman"/>
              </w:rPr>
              <w:t>blockers</w:t>
            </w:r>
            <w:r w:rsidRPr="00FF376F">
              <w:rPr>
                <w:rFonts w:ascii="Calibri" w:eastAsia="Calibri" w:hAnsi="Calibri" w:cs="Times New Roman"/>
                <w:vertAlign w:val="superscript"/>
              </w:rPr>
              <w:t>d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proofErr w:type="spellStart"/>
            <w:r w:rsidRPr="00FF376F">
              <w:rPr>
                <w:rFonts w:ascii="Calibri" w:eastAsia="Calibri" w:hAnsi="Calibri" w:cs="Times New Roman"/>
              </w:rPr>
              <w:t>Dronedarone</w:t>
            </w:r>
            <w:r w:rsidRPr="00FF376F">
              <w:rPr>
                <w:rFonts w:ascii="Calibri" w:eastAsia="Calibri" w:hAnsi="Calibri" w:cs="Times New Roman"/>
                <w:vertAlign w:val="superscript"/>
              </w:rPr>
              <w:t>d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proofErr w:type="spellStart"/>
            <w:r w:rsidRPr="00FF376F">
              <w:rPr>
                <w:rFonts w:ascii="Calibri" w:eastAsia="Calibri" w:hAnsi="Calibri" w:cs="Times New Roman"/>
              </w:rPr>
              <w:t>Rifampicin</w:t>
            </w:r>
            <w:r w:rsidRPr="00FF376F">
              <w:rPr>
                <w:rFonts w:ascii="Calibri" w:eastAsia="Calibri" w:hAnsi="Calibri" w:cs="Times New Roman"/>
                <w:vertAlign w:val="superscript"/>
              </w:rPr>
              <w:t>d</w:t>
            </w:r>
            <w:proofErr w:type="spellEnd"/>
          </w:p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proofErr w:type="spellStart"/>
            <w:r w:rsidRPr="00FF376F">
              <w:rPr>
                <w:rFonts w:ascii="Calibri" w:eastAsia="Calibri" w:hAnsi="Calibri" w:cs="Times New Roman"/>
              </w:rPr>
              <w:t>Tacrolimus</w:t>
            </w:r>
            <w:r w:rsidRPr="00FF376F">
              <w:rPr>
                <w:rFonts w:ascii="Calibri" w:eastAsia="Calibri" w:hAnsi="Calibri" w:cs="Times New Roman"/>
                <w:vertAlign w:val="superscript"/>
              </w:rPr>
              <w:t>d</w:t>
            </w:r>
            <w:proofErr w:type="spellEnd"/>
          </w:p>
        </w:tc>
        <w:tc>
          <w:tcPr>
            <w:tcW w:w="3005" w:type="dxa"/>
          </w:tcPr>
          <w:p w:rsidR="00FF376F" w:rsidRPr="00FF376F" w:rsidRDefault="00FF376F" w:rsidP="00FF376F">
            <w:pPr>
              <w:rPr>
                <w:rFonts w:ascii="Calibri" w:eastAsia="Calibri" w:hAnsi="Calibri" w:cs="Calibri"/>
                <w:bCs/>
              </w:rPr>
            </w:pPr>
            <w:r w:rsidRPr="00FF376F">
              <w:rPr>
                <w:rFonts w:ascii="Calibri" w:eastAsia="Calibri" w:hAnsi="Calibri" w:cs="Calibri"/>
                <w:bCs/>
              </w:rPr>
              <w:t>Alpha adrenergic blockers</w:t>
            </w: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Magnesium (parenteral)</w:t>
            </w:r>
            <w:r w:rsidRPr="00FF376F">
              <w:rPr>
                <w:rFonts w:ascii="Calibri" w:eastAsia="Calibri" w:hAnsi="Calibri" w:cs="Times New Roman"/>
                <w:vertAlign w:val="superscript"/>
              </w:rPr>
              <w:t>d</w:t>
            </w: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</w:p>
        </w:tc>
      </w:tr>
    </w:tbl>
    <w:p w:rsidR="00FF376F" w:rsidRPr="00FF376F" w:rsidRDefault="00FF376F" w:rsidP="00FF376F">
      <w:pPr>
        <w:spacing w:after="200" w:line="276" w:lineRule="auto"/>
        <w:rPr>
          <w:rFonts w:ascii="Calibri" w:eastAsia="Calibri" w:hAnsi="Calibri" w:cs="Times New Roman"/>
        </w:rPr>
      </w:pPr>
      <w:r w:rsidRPr="00FF376F">
        <w:rPr>
          <w:rFonts w:ascii="Calibri" w:eastAsia="Calibri" w:hAnsi="Calibri" w:cs="Times New Roman"/>
        </w:rPr>
        <w:t xml:space="preserve">Interaction specific to </w:t>
      </w:r>
      <w:proofErr w:type="spellStart"/>
      <w:r w:rsidRPr="00FF376F">
        <w:rPr>
          <w:rFonts w:ascii="Calibri" w:eastAsia="Calibri" w:hAnsi="Calibri" w:cs="Times New Roman"/>
          <w:vertAlign w:val="superscript"/>
        </w:rPr>
        <w:t>a</w:t>
      </w:r>
      <w:r w:rsidRPr="00FF376F">
        <w:rPr>
          <w:rFonts w:ascii="Calibri" w:eastAsia="Calibri" w:hAnsi="Calibri" w:cs="Times New Roman"/>
        </w:rPr>
        <w:t>amlodipine</w:t>
      </w:r>
      <w:proofErr w:type="spellEnd"/>
      <w:r w:rsidRPr="00FF376F">
        <w:rPr>
          <w:rFonts w:ascii="Calibri" w:eastAsia="Calibri" w:hAnsi="Calibri" w:cs="Times New Roman"/>
        </w:rPr>
        <w:t xml:space="preserve">, </w:t>
      </w:r>
      <w:proofErr w:type="spellStart"/>
      <w:r w:rsidRPr="00FF376F">
        <w:rPr>
          <w:rFonts w:ascii="Calibri" w:eastAsia="Calibri" w:hAnsi="Calibri" w:cs="Times New Roman"/>
          <w:vertAlign w:val="superscript"/>
        </w:rPr>
        <w:t>b</w:t>
      </w:r>
      <w:r w:rsidRPr="00FF376F">
        <w:rPr>
          <w:rFonts w:ascii="Calibri" w:eastAsia="Calibri" w:hAnsi="Calibri" w:cs="Times New Roman"/>
        </w:rPr>
        <w:t>felodipine</w:t>
      </w:r>
      <w:proofErr w:type="spellEnd"/>
      <w:r w:rsidRPr="00FF376F">
        <w:rPr>
          <w:rFonts w:ascii="Calibri" w:eastAsia="Calibri" w:hAnsi="Calibri" w:cs="Times New Roman"/>
        </w:rPr>
        <w:t xml:space="preserve">, </w:t>
      </w:r>
      <w:proofErr w:type="spellStart"/>
      <w:r w:rsidRPr="00FF376F">
        <w:rPr>
          <w:rFonts w:ascii="Calibri" w:eastAsia="Calibri" w:hAnsi="Calibri" w:cs="Times New Roman"/>
          <w:vertAlign w:val="superscript"/>
        </w:rPr>
        <w:t>c</w:t>
      </w:r>
      <w:r w:rsidRPr="00FF376F">
        <w:rPr>
          <w:rFonts w:ascii="Calibri" w:eastAsia="Calibri" w:hAnsi="Calibri" w:cs="Times New Roman"/>
        </w:rPr>
        <w:t>lercanidipine</w:t>
      </w:r>
      <w:proofErr w:type="spellEnd"/>
      <w:r w:rsidRPr="00FF376F">
        <w:rPr>
          <w:rFonts w:ascii="Calibri" w:eastAsia="Calibri" w:hAnsi="Calibri" w:cs="Times New Roman"/>
        </w:rPr>
        <w:t xml:space="preserve">, </w:t>
      </w:r>
      <w:proofErr w:type="spellStart"/>
      <w:r w:rsidRPr="00FF376F">
        <w:rPr>
          <w:rFonts w:ascii="Calibri" w:eastAsia="Calibri" w:hAnsi="Calibri" w:cs="Times New Roman"/>
          <w:vertAlign w:val="superscript"/>
        </w:rPr>
        <w:t>d</w:t>
      </w:r>
      <w:r w:rsidRPr="00FF376F">
        <w:rPr>
          <w:rFonts w:ascii="Calibri" w:eastAsia="Calibri" w:hAnsi="Calibri" w:cs="Times New Roman"/>
        </w:rPr>
        <w:t>nifedipine</w:t>
      </w:r>
      <w:proofErr w:type="spellEnd"/>
    </w:p>
    <w:p w:rsidR="00FF376F" w:rsidRPr="00FF376F" w:rsidRDefault="00FF376F" w:rsidP="00FF376F">
      <w:pPr>
        <w:keepNext/>
        <w:spacing w:after="200" w:line="240" w:lineRule="auto"/>
        <w:rPr>
          <w:rFonts w:ascii="Calibri" w:eastAsia="Calibri" w:hAnsi="Calibri" w:cs="Times New Roman"/>
          <w:b/>
          <w:bCs/>
          <w:szCs w:val="18"/>
        </w:rPr>
      </w:pPr>
      <w:r w:rsidRPr="00FF376F">
        <w:rPr>
          <w:rFonts w:ascii="Calibri" w:eastAsia="Calibri" w:hAnsi="Calibri" w:cs="Times New Roman"/>
          <w:b/>
          <w:bCs/>
          <w:szCs w:val="18"/>
        </w:rPr>
        <w:lastRenderedPageBreak/>
        <w:t>Table S3 Prevalence of individual drug-drug interactions</w:t>
      </w:r>
    </w:p>
    <w:tbl>
      <w:tblPr>
        <w:tblW w:w="895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989"/>
        <w:gridCol w:w="1134"/>
        <w:gridCol w:w="1417"/>
        <w:gridCol w:w="1417"/>
      </w:tblGrid>
      <w:tr w:rsidR="00FF376F" w:rsidRPr="00FF376F" w:rsidTr="00C46F84">
        <w:trPr>
          <w:trHeight w:val="300"/>
        </w:trPr>
        <w:tc>
          <w:tcPr>
            <w:tcW w:w="49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proofErr w:type="spellStart"/>
            <w:r w:rsidRPr="00FF376F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Antihypertensives</w:t>
            </w:r>
            <w:proofErr w:type="spellEnd"/>
            <w:r w:rsidRPr="00FF376F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 xml:space="preserve"> and interacting agents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% by class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% overall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Angiotensin II receptor blockers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13,611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27.96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ACE inhibitors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6,938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50.97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14.25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</w:t>
            </w:r>
            <w:proofErr w:type="spellStart"/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Alsikiren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851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6.25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1.75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</w:t>
            </w:r>
            <w:proofErr w:type="spellStart"/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Amiloride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9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0.07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0.02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</w:t>
            </w:r>
            <w:proofErr w:type="spellStart"/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Eplerenone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678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4.98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1.39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Lithium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677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4.97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1.39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Potassium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3,965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29.13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8.14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Spironolactone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1,749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12.85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3.59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ACE inhibitors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12,737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100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26.16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</w:t>
            </w:r>
            <w:proofErr w:type="spellStart"/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Alsikiren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321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2.52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0.66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</w:t>
            </w:r>
            <w:proofErr w:type="spellStart"/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Amiloride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13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0.10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0.03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ARB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7,031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55.20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Calibri" w:hAnsi="Calibri" w:cs="Calibri"/>
              </w:rPr>
              <w:t>14.44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</w:t>
            </w:r>
            <w:proofErr w:type="spellStart"/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Ciclosporin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11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0.09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0.02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</w:t>
            </w:r>
            <w:proofErr w:type="spellStart"/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Eplerenone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407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3.20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0.84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Lithium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530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4.16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1.09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Potassium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4,149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32.57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8.52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Spironolactone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971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7.62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1.99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Beta blockers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121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100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0.25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Amiodarone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29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23.97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0.06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Anti-</w:t>
            </w:r>
            <w:proofErr w:type="spellStart"/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arrhythmics</w:t>
            </w:r>
            <w:proofErr w:type="spellEnd"/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(including flecainide)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50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41.32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0.10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Clonidine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31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25.62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0.06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Diltiazem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40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33.06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0.08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Calcium channel blockers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29,153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100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59.88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Amlodipine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Theophylline/aminophylline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1,933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6.63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3.97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Macrolides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534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1.83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1.10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</w:t>
            </w:r>
            <w:proofErr w:type="spellStart"/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Barbituates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700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2.40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1.44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Simvastatin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19,725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67.66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40.51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</w:t>
            </w:r>
            <w:proofErr w:type="spellStart"/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Lercanidipine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Theophylline/aminophylline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68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0.23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0.14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Macrolides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9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0.03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0.02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</w:t>
            </w:r>
            <w:proofErr w:type="spellStart"/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Felodipine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Theophylline/aminophylline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151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0.52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0.31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Macrolides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16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0.05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0.03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</w:t>
            </w:r>
            <w:proofErr w:type="spellStart"/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Barbituates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32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0.11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0.07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</w:t>
            </w:r>
            <w:proofErr w:type="spellStart"/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Itraconazole</w:t>
            </w:r>
            <w:proofErr w:type="spellEnd"/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/ketoconazole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&lt;0.01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&lt;0.01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</w:t>
            </w:r>
            <w:proofErr w:type="spellStart"/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Nifedipine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Theophylline/aminophylline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38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0.13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0.08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Macrolides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0.01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0.01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Digoxin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58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0.20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0.12</w:t>
            </w:r>
          </w:p>
        </w:tc>
      </w:tr>
      <w:tr w:rsidR="00FF376F" w:rsidRPr="00FF376F" w:rsidTr="00C46F84">
        <w:trPr>
          <w:trHeight w:val="300"/>
        </w:trPr>
        <w:tc>
          <w:tcPr>
            <w:tcW w:w="498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    Beta blockers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6,168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21.16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F376F" w:rsidRPr="00FF376F" w:rsidRDefault="00FF376F" w:rsidP="00FF37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FF376F">
              <w:rPr>
                <w:rFonts w:ascii="Calibri" w:eastAsia="Times New Roman" w:hAnsi="Calibri" w:cs="Times New Roman"/>
                <w:color w:val="000000"/>
                <w:lang w:eastAsia="en-IE"/>
              </w:rPr>
              <w:t>12.67</w:t>
            </w:r>
          </w:p>
        </w:tc>
      </w:tr>
    </w:tbl>
    <w:p w:rsidR="00FF376F" w:rsidRPr="00FF376F" w:rsidRDefault="00FF376F" w:rsidP="00FF376F">
      <w:pPr>
        <w:spacing w:after="200" w:line="276" w:lineRule="auto"/>
        <w:rPr>
          <w:rFonts w:ascii="Calibri" w:eastAsia="Calibri" w:hAnsi="Calibri" w:cs="Times New Roman"/>
        </w:rPr>
      </w:pPr>
    </w:p>
    <w:p w:rsidR="00FF376F" w:rsidRPr="00FF376F" w:rsidRDefault="00FF376F" w:rsidP="00FF376F">
      <w:pPr>
        <w:spacing w:after="200" w:line="276" w:lineRule="auto"/>
        <w:rPr>
          <w:rFonts w:ascii="Calibri" w:eastAsia="Calibri" w:hAnsi="Calibri" w:cs="Times New Roman"/>
        </w:rPr>
        <w:sectPr w:rsidR="00FF376F" w:rsidRPr="00FF376F" w:rsidSect="00F54A9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F376F" w:rsidRPr="00FF376F" w:rsidRDefault="00FF376F" w:rsidP="00FF376F">
      <w:pPr>
        <w:keepNext/>
        <w:spacing w:after="200" w:line="240" w:lineRule="auto"/>
        <w:rPr>
          <w:rFonts w:ascii="Calibri" w:eastAsia="Calibri" w:hAnsi="Calibri" w:cs="Times New Roman"/>
          <w:b/>
          <w:bCs/>
          <w:szCs w:val="18"/>
        </w:rPr>
      </w:pPr>
      <w:r w:rsidRPr="00FF376F">
        <w:rPr>
          <w:rFonts w:ascii="Calibri" w:eastAsia="Calibri" w:hAnsi="Calibri" w:cs="Times New Roman"/>
          <w:b/>
          <w:bCs/>
          <w:szCs w:val="18"/>
        </w:rPr>
        <w:lastRenderedPageBreak/>
        <w:t>Table S4 Descriptive statistics of propensity-matched cohort with standardised mean differences before and after matching</w:t>
      </w:r>
    </w:p>
    <w:tbl>
      <w:tblPr>
        <w:tblStyle w:val="TableGrid"/>
        <w:tblW w:w="10205" w:type="dxa"/>
        <w:tblLook w:val="04A0" w:firstRow="1" w:lastRow="0" w:firstColumn="1" w:lastColumn="0" w:noHBand="0" w:noVBand="1"/>
      </w:tblPr>
      <w:tblGrid>
        <w:gridCol w:w="4932"/>
        <w:gridCol w:w="1871"/>
        <w:gridCol w:w="1871"/>
        <w:gridCol w:w="1531"/>
      </w:tblGrid>
      <w:tr w:rsidR="00FF376F" w:rsidRPr="00FF376F" w:rsidTr="00C46F84">
        <w:tc>
          <w:tcPr>
            <w:tcW w:w="4932" w:type="dxa"/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bookmarkStart w:id="2" w:name="_Hlk494199322"/>
          </w:p>
        </w:tc>
        <w:tc>
          <w:tcPr>
            <w:tcW w:w="1871" w:type="dxa"/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FC</w:t>
            </w:r>
          </w:p>
        </w:tc>
        <w:tc>
          <w:tcPr>
            <w:tcW w:w="1871" w:type="dxa"/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FDC</w:t>
            </w:r>
          </w:p>
        </w:tc>
        <w:tc>
          <w:tcPr>
            <w:tcW w:w="1531" w:type="dxa"/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SMD post-matching</w:t>
            </w:r>
          </w:p>
        </w:tc>
      </w:tr>
      <w:tr w:rsidR="00FF376F" w:rsidRPr="00FF376F" w:rsidTr="00C46F84">
        <w:tc>
          <w:tcPr>
            <w:tcW w:w="4932" w:type="dxa"/>
            <w:tcBorders>
              <w:bottom w:val="single" w:sz="4" w:space="0" w:color="auto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Number of prescriptions</w:t>
            </w: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146,813</w:t>
            </w: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146,813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</w:p>
        </w:tc>
      </w:tr>
      <w:tr w:rsidR="00FF376F" w:rsidRPr="00FF376F" w:rsidTr="00C46F84">
        <w:tc>
          <w:tcPr>
            <w:tcW w:w="4932" w:type="dxa"/>
            <w:tcBorders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Patient age (years)</w:t>
            </w: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Mean (SD)</w:t>
            </w:r>
          </w:p>
        </w:tc>
        <w:tc>
          <w:tcPr>
            <w:tcW w:w="1871" w:type="dxa"/>
            <w:tcBorders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70.0 (12.0)</w:t>
            </w:r>
          </w:p>
        </w:tc>
        <w:tc>
          <w:tcPr>
            <w:tcW w:w="1871" w:type="dxa"/>
            <w:tcBorders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69.9 (11.9)</w:t>
            </w:r>
          </w:p>
        </w:tc>
        <w:tc>
          <w:tcPr>
            <w:tcW w:w="1531" w:type="dxa"/>
            <w:tcBorders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&lt;0.001</w:t>
            </w:r>
          </w:p>
        </w:tc>
      </w:tr>
      <w:tr w:rsidR="00FF376F" w:rsidRPr="00FF376F" w:rsidTr="00C46F84">
        <w:tc>
          <w:tcPr>
            <w:tcW w:w="4932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Female</w:t>
            </w:r>
            <w:r w:rsidRPr="00FF376F">
              <w:rPr>
                <w:rFonts w:ascii="Calibri" w:eastAsia="Calibri" w:hAnsi="Calibri" w:cs="Times New Roman"/>
              </w:rPr>
              <w:t>, n (%)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70,648 (48.1)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71,135 (48.5)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0.014</w:t>
            </w:r>
          </w:p>
        </w:tc>
      </w:tr>
      <w:tr w:rsidR="00FF376F" w:rsidRPr="00FF376F" w:rsidTr="00C46F84">
        <w:tc>
          <w:tcPr>
            <w:tcW w:w="4932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  <w:b/>
                <w:bCs/>
              </w:rPr>
              <w:t xml:space="preserve">Antihypertensive </w:t>
            </w:r>
            <w:proofErr w:type="spellStart"/>
            <w:r w:rsidRPr="00FF376F">
              <w:rPr>
                <w:rFonts w:ascii="Calibri" w:eastAsia="Calibri" w:hAnsi="Calibri" w:cs="Times New Roman"/>
                <w:b/>
                <w:bCs/>
              </w:rPr>
              <w:t>type</w:t>
            </w:r>
            <w:r w:rsidRPr="00FF376F">
              <w:rPr>
                <w:rFonts w:ascii="Calibri" w:eastAsia="Calibri" w:hAnsi="Calibri" w:cs="Times New Roman"/>
                <w:vertAlign w:val="superscript"/>
              </w:rPr>
              <w:t>b</w:t>
            </w:r>
            <w:proofErr w:type="spellEnd"/>
            <w:r w:rsidRPr="00FF376F">
              <w:rPr>
                <w:rFonts w:ascii="Calibri" w:eastAsia="Calibri" w:hAnsi="Calibri" w:cs="Times New Roman"/>
              </w:rPr>
              <w:t>, n (%)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</w:p>
        </w:tc>
      </w:tr>
      <w:tr w:rsidR="00FF376F" w:rsidRPr="00FF376F" w:rsidTr="00C46F84">
        <w:tc>
          <w:tcPr>
            <w:tcW w:w="4932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 xml:space="preserve">   Beta blocker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1,317 (0.9)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1,256 (0.9)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0.048</w:t>
            </w:r>
          </w:p>
        </w:tc>
      </w:tr>
      <w:tr w:rsidR="00FF376F" w:rsidRPr="00FF376F" w:rsidTr="00C46F84">
        <w:tc>
          <w:tcPr>
            <w:tcW w:w="4932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 xml:space="preserve">   ACE inhibitor (+/- beta blocker)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68.294 (46.5)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62,921 (42.9)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0.148</w:t>
            </w:r>
          </w:p>
        </w:tc>
      </w:tr>
      <w:tr w:rsidR="00FF376F" w:rsidRPr="00FF376F" w:rsidTr="00C46F84">
        <w:tc>
          <w:tcPr>
            <w:tcW w:w="4932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 xml:space="preserve">   ARB (+/- beta blocker or ACE inhibitor)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77,202 (55.6)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82,636 (56.3)***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0.149</w:t>
            </w:r>
          </w:p>
        </w:tc>
      </w:tr>
      <w:tr w:rsidR="00FF376F" w:rsidRPr="00FF376F" w:rsidTr="00C46F84">
        <w:tc>
          <w:tcPr>
            <w:tcW w:w="4932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Total number of antihypertensive DDDs prescribed</w:t>
            </w: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Mean (SD)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88.0 (31.0)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89.7 (26.5) ***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0.020</w:t>
            </w:r>
          </w:p>
        </w:tc>
      </w:tr>
      <w:tr w:rsidR="00FF376F" w:rsidRPr="00FF376F" w:rsidTr="00C46F84">
        <w:tc>
          <w:tcPr>
            <w:tcW w:w="4932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Any other BP drugs</w:t>
            </w:r>
            <w:r w:rsidRPr="00FF376F">
              <w:rPr>
                <w:rFonts w:ascii="Calibri" w:eastAsia="Calibri" w:hAnsi="Calibri" w:cs="Times New Roman"/>
              </w:rPr>
              <w:t>, n (%)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63874 (44.5)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69914 (45.6) ***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0.064</w:t>
            </w:r>
          </w:p>
        </w:tc>
      </w:tr>
      <w:tr w:rsidR="00FF376F" w:rsidRPr="00FF376F" w:rsidTr="00C46F84">
        <w:tc>
          <w:tcPr>
            <w:tcW w:w="4932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Any other CV drug</w:t>
            </w:r>
            <w:r w:rsidRPr="00FF376F">
              <w:rPr>
                <w:rFonts w:ascii="Calibri" w:eastAsia="Calibri" w:hAnsi="Calibri" w:cs="Times New Roman"/>
              </w:rPr>
              <w:t>, n (%)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8461 (5.8)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9384 (6.4) ***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0.074</w:t>
            </w:r>
          </w:p>
        </w:tc>
      </w:tr>
      <w:tr w:rsidR="00FF376F" w:rsidRPr="00FF376F" w:rsidTr="00C46F84">
        <w:tc>
          <w:tcPr>
            <w:tcW w:w="4932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Any antiplatelet/anticoagulant</w:t>
            </w:r>
            <w:r w:rsidRPr="00FF376F">
              <w:rPr>
                <w:rFonts w:ascii="Calibri" w:eastAsia="Calibri" w:hAnsi="Calibri" w:cs="Times New Roman"/>
              </w:rPr>
              <w:t>, n (%)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69390 (47.3)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71437 (48.7) ***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0.054</w:t>
            </w:r>
          </w:p>
        </w:tc>
      </w:tr>
      <w:tr w:rsidR="00FF376F" w:rsidRPr="00FF376F" w:rsidTr="00C46F84">
        <w:tc>
          <w:tcPr>
            <w:tcW w:w="4932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Any cholesterol drug</w:t>
            </w:r>
            <w:r w:rsidRPr="00FF376F">
              <w:rPr>
                <w:rFonts w:ascii="Calibri" w:eastAsia="Calibri" w:hAnsi="Calibri" w:cs="Times New Roman"/>
              </w:rPr>
              <w:t>, n (%)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79479 (54.1)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83286 (56.7) ***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0.102</w:t>
            </w:r>
          </w:p>
        </w:tc>
      </w:tr>
      <w:tr w:rsidR="00FF376F" w:rsidRPr="00FF376F" w:rsidTr="00C46F84">
        <w:tc>
          <w:tcPr>
            <w:tcW w:w="4932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Any diabetic drug</w:t>
            </w:r>
            <w:r w:rsidRPr="00FF376F">
              <w:rPr>
                <w:rFonts w:ascii="Calibri" w:eastAsia="Calibri" w:hAnsi="Calibri" w:cs="Times New Roman"/>
              </w:rPr>
              <w:t>, n (%)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17112 (11.7)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18226 (12.4) ***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0.048</w:t>
            </w:r>
          </w:p>
        </w:tc>
      </w:tr>
      <w:tr w:rsidR="00FF376F" w:rsidRPr="00FF376F" w:rsidTr="00C46F84">
        <w:tc>
          <w:tcPr>
            <w:tcW w:w="4932" w:type="dxa"/>
            <w:tcBorders>
              <w:top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Number of other items on prescription</w:t>
            </w: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Median (IQR)</w:t>
            </w:r>
          </w:p>
        </w:tc>
        <w:tc>
          <w:tcPr>
            <w:tcW w:w="1871" w:type="dxa"/>
            <w:tcBorders>
              <w:top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2 (1-4)</w:t>
            </w:r>
          </w:p>
        </w:tc>
        <w:tc>
          <w:tcPr>
            <w:tcW w:w="1871" w:type="dxa"/>
            <w:tcBorders>
              <w:top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2 (1-4) ***</w:t>
            </w:r>
          </w:p>
        </w:tc>
        <w:tc>
          <w:tcPr>
            <w:tcW w:w="1531" w:type="dxa"/>
            <w:tcBorders>
              <w:top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</w:p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0.038</w:t>
            </w:r>
          </w:p>
        </w:tc>
      </w:tr>
    </w:tbl>
    <w:bookmarkEnd w:id="2"/>
    <w:p w:rsidR="00FF376F" w:rsidRPr="00FF376F" w:rsidRDefault="00FF376F" w:rsidP="00FF376F">
      <w:pPr>
        <w:spacing w:after="200" w:line="276" w:lineRule="auto"/>
        <w:rPr>
          <w:rFonts w:ascii="Calibri" w:eastAsia="Calibri" w:hAnsi="Calibri" w:cs="Times New Roman"/>
        </w:rPr>
        <w:sectPr w:rsidR="00FF376F" w:rsidRPr="00FF376F" w:rsidSect="00A95D5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FF376F">
        <w:rPr>
          <w:rFonts w:ascii="Calibri" w:eastAsia="Calibri" w:hAnsi="Calibri" w:cs="Times New Roman"/>
        </w:rPr>
        <w:t>ACE, angiotensin-converting enzyme; ARB, angiotensin II receptor blocker; BP, blood pressure; CV, cardiovascular drug; FC, free combination; FDC, fixed-dose combination; SMD, standardised mean difference.</w:t>
      </w:r>
    </w:p>
    <w:p w:rsidR="00FF376F" w:rsidRPr="00FF376F" w:rsidRDefault="00FF376F" w:rsidP="00FF376F">
      <w:pPr>
        <w:keepNext/>
        <w:spacing w:after="200" w:line="240" w:lineRule="auto"/>
        <w:rPr>
          <w:rFonts w:ascii="Calibri" w:eastAsia="Calibri" w:hAnsi="Calibri" w:cs="Times New Roman"/>
          <w:b/>
          <w:bCs/>
          <w:szCs w:val="18"/>
        </w:rPr>
      </w:pPr>
      <w:r w:rsidRPr="00FF376F">
        <w:rPr>
          <w:rFonts w:ascii="Calibri" w:eastAsia="Calibri" w:hAnsi="Calibri" w:cs="Times New Roman"/>
          <w:b/>
          <w:bCs/>
          <w:szCs w:val="18"/>
        </w:rPr>
        <w:lastRenderedPageBreak/>
        <w:t>Table S5 Additional sensitivity analyses using propensity score adjustment</w:t>
      </w:r>
    </w:p>
    <w:tbl>
      <w:tblPr>
        <w:tblStyle w:val="TableGrid"/>
        <w:tblW w:w="9072" w:type="dxa"/>
        <w:tblLook w:val="04A0" w:firstRow="1" w:lastRow="0" w:firstColumn="1" w:lastColumn="0" w:noHBand="0" w:noVBand="1"/>
      </w:tblPr>
      <w:tblGrid>
        <w:gridCol w:w="2948"/>
        <w:gridCol w:w="2098"/>
        <w:gridCol w:w="964"/>
        <w:gridCol w:w="2098"/>
        <w:gridCol w:w="964"/>
      </w:tblGrid>
      <w:tr w:rsidR="00FF376F" w:rsidRPr="00FF376F" w:rsidTr="00C46F84">
        <w:tc>
          <w:tcPr>
            <w:tcW w:w="2948" w:type="dxa"/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98" w:type="dxa"/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Duplicate</w:t>
            </w:r>
          </w:p>
        </w:tc>
        <w:tc>
          <w:tcPr>
            <w:tcW w:w="964" w:type="dxa"/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98" w:type="dxa"/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Drug interaction</w:t>
            </w:r>
          </w:p>
        </w:tc>
        <w:tc>
          <w:tcPr>
            <w:tcW w:w="964" w:type="dxa"/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FF376F" w:rsidRPr="00FF376F" w:rsidTr="00C46F84">
        <w:tc>
          <w:tcPr>
            <w:tcW w:w="2948" w:type="dxa"/>
            <w:tcBorders>
              <w:bottom w:val="single" w:sz="4" w:space="0" w:color="auto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 xml:space="preserve">Relative risk </w:t>
            </w:r>
          </w:p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(95% CI)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P value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 xml:space="preserve">Relative risk </w:t>
            </w:r>
          </w:p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(95% CI)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F376F">
              <w:rPr>
                <w:rFonts w:ascii="Calibri" w:eastAsia="Calibri" w:hAnsi="Calibri" w:cs="Times New Roman"/>
                <w:b/>
              </w:rPr>
              <w:t>P value</w:t>
            </w:r>
          </w:p>
        </w:tc>
      </w:tr>
      <w:tr w:rsidR="00FF376F" w:rsidRPr="00FF376F" w:rsidTr="00C46F84">
        <w:trPr>
          <w:trHeight w:val="828"/>
        </w:trPr>
        <w:tc>
          <w:tcPr>
            <w:tcW w:w="2948" w:type="dxa"/>
            <w:tcBorders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 xml:space="preserve">PS matched </w:t>
            </w:r>
            <w:proofErr w:type="spellStart"/>
            <w:r w:rsidRPr="00FF376F">
              <w:rPr>
                <w:rFonts w:ascii="Calibri" w:eastAsia="Calibri" w:hAnsi="Calibri" w:cs="Times New Roman"/>
              </w:rPr>
              <w:t>regression</w:t>
            </w:r>
            <w:r w:rsidRPr="00FF376F">
              <w:rPr>
                <w:rFonts w:ascii="Calibri" w:eastAsia="Calibri" w:hAnsi="Calibri" w:cs="Times New Roman"/>
                <w:vertAlign w:val="superscript"/>
              </w:rPr>
              <w:t>a</w:t>
            </w:r>
            <w:proofErr w:type="spellEnd"/>
            <w:r w:rsidRPr="00FF376F">
              <w:rPr>
                <w:rFonts w:ascii="Calibri" w:eastAsia="Calibri" w:hAnsi="Calibri" w:cs="Times New Roman"/>
              </w:rPr>
              <w:t>, adjusting for all covariates</w:t>
            </w:r>
          </w:p>
        </w:tc>
        <w:tc>
          <w:tcPr>
            <w:tcW w:w="2098" w:type="dxa"/>
            <w:tcBorders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2.17 (1.72, 2.74)</w:t>
            </w:r>
          </w:p>
        </w:tc>
        <w:tc>
          <w:tcPr>
            <w:tcW w:w="964" w:type="dxa"/>
            <w:tcBorders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&lt;0.001</w:t>
            </w:r>
          </w:p>
        </w:tc>
        <w:tc>
          <w:tcPr>
            <w:tcW w:w="2098" w:type="dxa"/>
            <w:tcBorders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1.04 (0.98, 1.10)</w:t>
            </w:r>
          </w:p>
        </w:tc>
        <w:tc>
          <w:tcPr>
            <w:tcW w:w="964" w:type="dxa"/>
            <w:tcBorders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0.165</w:t>
            </w:r>
          </w:p>
        </w:tc>
      </w:tr>
      <w:tr w:rsidR="00FF376F" w:rsidRPr="00FF376F" w:rsidTr="00C46F84">
        <w:trPr>
          <w:trHeight w:val="828"/>
        </w:trPr>
        <w:tc>
          <w:tcPr>
            <w:tcW w:w="294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PS matched regression, trimming at 2.5</w:t>
            </w:r>
            <w:r w:rsidRPr="00FF376F">
              <w:rPr>
                <w:rFonts w:ascii="Calibri" w:eastAsia="Calibri" w:hAnsi="Calibri" w:cs="Times New Roman"/>
                <w:vertAlign w:val="superscript"/>
              </w:rPr>
              <w:t>th</w:t>
            </w:r>
            <w:r w:rsidRPr="00FF376F">
              <w:rPr>
                <w:rFonts w:ascii="Calibri" w:eastAsia="Calibri" w:hAnsi="Calibri" w:cs="Times New Roman"/>
              </w:rPr>
              <w:t>, 97.5</w:t>
            </w:r>
            <w:r w:rsidRPr="00FF376F">
              <w:rPr>
                <w:rFonts w:ascii="Calibri" w:eastAsia="Calibri" w:hAnsi="Calibri" w:cs="Times New Roman"/>
                <w:vertAlign w:val="superscript"/>
              </w:rPr>
              <w:t>th</w:t>
            </w:r>
            <w:r w:rsidRPr="00FF376F">
              <w:rPr>
                <w:rFonts w:ascii="Calibri" w:eastAsia="Calibri" w:hAnsi="Calibri" w:cs="Times New Roman"/>
              </w:rPr>
              <w:t xml:space="preserve"> percentile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2.32 (1.82, 2.96)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&lt;0.001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1.09 (1.02, 1.16)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0.007</w:t>
            </w:r>
          </w:p>
        </w:tc>
      </w:tr>
      <w:tr w:rsidR="00FF376F" w:rsidRPr="00FF376F" w:rsidTr="00C46F84">
        <w:trPr>
          <w:trHeight w:val="828"/>
        </w:trPr>
        <w:tc>
          <w:tcPr>
            <w:tcW w:w="294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As above, adjusting for all covariates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2.17 (1.70, 2.77)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&lt;0.001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1.03 (0.97, 1.10)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0.310</w:t>
            </w:r>
          </w:p>
        </w:tc>
      </w:tr>
      <w:tr w:rsidR="00FF376F" w:rsidRPr="00FF376F" w:rsidTr="00C46F84">
        <w:trPr>
          <w:trHeight w:val="828"/>
        </w:trPr>
        <w:tc>
          <w:tcPr>
            <w:tcW w:w="294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Adjusted for PS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2.20 (1.73, 2.80)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&lt;0.001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1.00 (0.95, 1.06)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0.919</w:t>
            </w:r>
          </w:p>
        </w:tc>
      </w:tr>
      <w:tr w:rsidR="00FF376F" w:rsidRPr="00FF376F" w:rsidTr="00C46F84">
        <w:trPr>
          <w:trHeight w:val="828"/>
        </w:trPr>
        <w:tc>
          <w:tcPr>
            <w:tcW w:w="294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 xml:space="preserve">Adjusting for PS and all covariates 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2.10 (1.67, 2.65)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&lt;0.001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1.00 (0.94, 1.05)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0.942</w:t>
            </w:r>
          </w:p>
        </w:tc>
      </w:tr>
      <w:tr w:rsidR="00FF376F" w:rsidRPr="00FF376F" w:rsidTr="00C46F84">
        <w:trPr>
          <w:trHeight w:val="828"/>
        </w:trPr>
        <w:tc>
          <w:tcPr>
            <w:tcW w:w="294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Adjusting for quintiles of PS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2.04 (1.62, 2.56)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&lt;0.001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0.88 (0.83, 0.93)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&lt;0.001</w:t>
            </w:r>
          </w:p>
        </w:tc>
      </w:tr>
      <w:tr w:rsidR="00FF376F" w:rsidRPr="00FF376F" w:rsidTr="00C46F84">
        <w:trPr>
          <w:trHeight w:val="828"/>
        </w:trPr>
        <w:tc>
          <w:tcPr>
            <w:tcW w:w="294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Adjusting for quintiles of PS and all covariates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2.09 (1.66, 2.63)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&lt;0.001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1.00 (0.95, 1.06)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0.890</w:t>
            </w:r>
          </w:p>
        </w:tc>
      </w:tr>
      <w:tr w:rsidR="00FF376F" w:rsidRPr="00FF376F" w:rsidTr="00C46F84">
        <w:trPr>
          <w:trHeight w:val="828"/>
        </w:trPr>
        <w:tc>
          <w:tcPr>
            <w:tcW w:w="294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Adjusting for quintiles of PS, trimming at 2.5</w:t>
            </w:r>
            <w:r w:rsidRPr="00FF376F">
              <w:rPr>
                <w:rFonts w:ascii="Calibri" w:eastAsia="Calibri" w:hAnsi="Calibri" w:cs="Times New Roman"/>
                <w:vertAlign w:val="superscript"/>
              </w:rPr>
              <w:t>th</w:t>
            </w:r>
            <w:r w:rsidRPr="00FF376F">
              <w:rPr>
                <w:rFonts w:ascii="Calibri" w:eastAsia="Calibri" w:hAnsi="Calibri" w:cs="Times New Roman"/>
              </w:rPr>
              <w:t>, 97.5</w:t>
            </w:r>
            <w:r w:rsidRPr="00FF376F">
              <w:rPr>
                <w:rFonts w:ascii="Calibri" w:eastAsia="Calibri" w:hAnsi="Calibri" w:cs="Times New Roman"/>
                <w:vertAlign w:val="superscript"/>
              </w:rPr>
              <w:t>th</w:t>
            </w:r>
            <w:r w:rsidRPr="00FF376F">
              <w:rPr>
                <w:rFonts w:ascii="Calibri" w:eastAsia="Calibri" w:hAnsi="Calibri" w:cs="Times New Roman"/>
              </w:rPr>
              <w:t xml:space="preserve"> percentile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2.09 (1.64, 2.66)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&lt;0.001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1.00 (0.94, 1.06)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0.891</w:t>
            </w:r>
          </w:p>
        </w:tc>
      </w:tr>
      <w:tr w:rsidR="00FF376F" w:rsidRPr="00FF376F" w:rsidTr="00C46F84">
        <w:trPr>
          <w:trHeight w:val="828"/>
        </w:trPr>
        <w:tc>
          <w:tcPr>
            <w:tcW w:w="2948" w:type="dxa"/>
            <w:tcBorders>
              <w:top w:val="nil"/>
              <w:bottom w:val="single" w:sz="4" w:space="0" w:color="auto"/>
            </w:tcBorders>
          </w:tcPr>
          <w:p w:rsidR="00FF376F" w:rsidRPr="00FF376F" w:rsidRDefault="00FF376F" w:rsidP="00FF376F">
            <w:pPr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As above, and adjusted for all covariates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2.09 (1.65, 2.66)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&lt;0.001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0.99 (0.94, 1.05)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</w:tcPr>
          <w:p w:rsidR="00FF376F" w:rsidRPr="00FF376F" w:rsidRDefault="00FF376F" w:rsidP="00FF376F">
            <w:pPr>
              <w:jc w:val="center"/>
              <w:rPr>
                <w:rFonts w:ascii="Calibri" w:eastAsia="Calibri" w:hAnsi="Calibri" w:cs="Times New Roman"/>
              </w:rPr>
            </w:pPr>
            <w:r w:rsidRPr="00FF376F">
              <w:rPr>
                <w:rFonts w:ascii="Calibri" w:eastAsia="Calibri" w:hAnsi="Calibri" w:cs="Times New Roman"/>
              </w:rPr>
              <w:t>0.781</w:t>
            </w:r>
          </w:p>
        </w:tc>
      </w:tr>
    </w:tbl>
    <w:p w:rsidR="00FF376F" w:rsidRPr="00FF376F" w:rsidRDefault="00FF376F" w:rsidP="00FF376F">
      <w:pPr>
        <w:spacing w:after="200" w:line="276" w:lineRule="auto"/>
        <w:rPr>
          <w:rFonts w:ascii="Calibri" w:eastAsia="Calibri" w:hAnsi="Calibri" w:cs="Times New Roman"/>
        </w:rPr>
      </w:pPr>
      <w:r w:rsidRPr="00FF376F">
        <w:rPr>
          <w:rFonts w:ascii="Calibri" w:eastAsia="Calibri" w:hAnsi="Calibri" w:cs="Times New Roman"/>
          <w:vertAlign w:val="superscript"/>
        </w:rPr>
        <w:t xml:space="preserve">a </w:t>
      </w:r>
      <w:r w:rsidRPr="00FF376F">
        <w:rPr>
          <w:rFonts w:ascii="Calibri" w:eastAsia="Calibri" w:hAnsi="Calibri" w:cs="Times New Roman"/>
        </w:rPr>
        <w:t>Propensity score generated from logit model including: patient age and gender, type of combination product (ARB, ACE inhibitor or beta blocker), and total number of antihypertensive DDDs in the FC/FDC, number of other antihypertensive prescription items, number of other cardiovascular drugs, number of antiplatelet/anticoagulant drugs, number of cholesterol drugs, number of diabetes drugs, and number of other prescribed items.</w:t>
      </w:r>
    </w:p>
    <w:p w:rsidR="00FF376F" w:rsidRPr="00FF376F" w:rsidRDefault="00FF376F" w:rsidP="00FF376F">
      <w:pPr>
        <w:keepNext/>
        <w:keepLines/>
        <w:spacing w:after="0" w:line="276" w:lineRule="auto"/>
        <w:rPr>
          <w:rFonts w:ascii="Calibri" w:eastAsia="Calibri" w:hAnsi="Calibri" w:cs="Times New Roman"/>
        </w:rPr>
      </w:pPr>
      <w:r w:rsidRPr="00FF376F">
        <w:rPr>
          <w:rFonts w:ascii="Calibri" w:eastAsia="Calibri" w:hAnsi="Calibri" w:cs="Times New Roman"/>
          <w:noProof/>
          <w:lang w:eastAsia="en-IE"/>
        </w:rPr>
        <w:lastRenderedPageBreak/>
        <w:drawing>
          <wp:inline distT="0" distB="0" distL="0" distR="0" wp14:anchorId="1055E30B" wp14:editId="49F3C648">
            <wp:extent cx="5729591" cy="39980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matched.t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1"/>
                    <a:stretch/>
                  </pic:blipFill>
                  <pic:spPr bwMode="auto">
                    <a:xfrm>
                      <a:off x="0" y="0"/>
                      <a:ext cx="5731510" cy="399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376F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280A9538" wp14:editId="390B4FC0">
            <wp:extent cx="5731510" cy="4171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match.tif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76F" w:rsidRPr="00FF376F" w:rsidRDefault="00FF376F" w:rsidP="00FF376F">
      <w:pPr>
        <w:spacing w:after="200" w:line="240" w:lineRule="auto"/>
        <w:rPr>
          <w:rFonts w:ascii="Calibri" w:eastAsia="Calibri" w:hAnsi="Calibri" w:cs="Times New Roman"/>
          <w:b/>
          <w:bCs/>
          <w:szCs w:val="18"/>
        </w:rPr>
      </w:pPr>
      <w:r w:rsidRPr="00FF376F">
        <w:rPr>
          <w:rFonts w:ascii="Calibri" w:eastAsia="Calibri" w:hAnsi="Calibri" w:cs="Times New Roman"/>
          <w:b/>
          <w:bCs/>
          <w:szCs w:val="18"/>
        </w:rPr>
        <w:lastRenderedPageBreak/>
        <w:t>Figure S1 Propensity scores distributions pre- and post-matching, with quintiles shown.</w:t>
      </w:r>
    </w:p>
    <w:p w:rsidR="008D734A" w:rsidRDefault="006433EB"/>
    <w:sectPr w:rsidR="008D734A" w:rsidSect="00FF376F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76F"/>
    <w:rsid w:val="001B1EFE"/>
    <w:rsid w:val="004253F0"/>
    <w:rsid w:val="006433EB"/>
    <w:rsid w:val="008E7EDB"/>
    <w:rsid w:val="0092632B"/>
    <w:rsid w:val="00B67C86"/>
    <w:rsid w:val="00FF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7EDB"/>
    <w:pPr>
      <w:keepNext/>
      <w:keepLines/>
      <w:spacing w:before="360" w:after="240" w:line="276" w:lineRule="auto"/>
      <w:outlineLvl w:val="0"/>
    </w:pPr>
    <w:rPr>
      <w:rFonts w:eastAsiaTheme="majorEastAsia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376F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E7EDB"/>
    <w:rPr>
      <w:rFonts w:eastAsiaTheme="majorEastAsia" w:cstheme="majorBidi"/>
      <w:b/>
      <w:bCs/>
      <w:color w:val="2E74B5" w:themeColor="accent1" w:themeShade="BF"/>
      <w:sz w:val="28"/>
      <w:szCs w:val="28"/>
      <w:lang w:val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7EDB"/>
    <w:pPr>
      <w:keepNext/>
      <w:keepLines/>
      <w:spacing w:before="360" w:after="240" w:line="276" w:lineRule="auto"/>
      <w:outlineLvl w:val="0"/>
    </w:pPr>
    <w:rPr>
      <w:rFonts w:eastAsiaTheme="majorEastAsia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376F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E7EDB"/>
    <w:rPr>
      <w:rFonts w:eastAsiaTheme="majorEastAsia" w:cstheme="majorBidi"/>
      <w:b/>
      <w:bCs/>
      <w:color w:val="2E74B5" w:themeColor="accent1" w:themeShade="BF"/>
      <w:sz w:val="28"/>
      <w:szCs w:val="28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RCSI</Company>
  <LinksUpToDate>false</LinksUpToDate>
  <CharactersWithSpaces>6285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Moriarty</dc:creator>
  <cp:keywords/>
  <dc:description/>
  <cp:lastModifiedBy>Frank Moriarty</cp:lastModifiedBy>
  <cp:revision>4</cp:revision>
  <dcterms:created xsi:type="dcterms:W3CDTF">2018-02-15T19:35:00Z</dcterms:created>
  <dcterms:modified xsi:type="dcterms:W3CDTF">2018-06-06T09:37:00Z</dcterms:modified>
</cp:coreProperties>
</file>